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B0E39" w14:textId="74963700" w:rsidR="00DC210B" w:rsidRDefault="0040086A" w:rsidP="007C4F44">
      <w:pPr>
        <w:spacing w:beforeLines="50" w:before="180" w:afterLines="50" w:after="180"/>
        <w:jc w:val="center"/>
        <w:rPr>
          <w:rFonts w:ascii="標楷體" w:eastAsia="標楷體" w:hAnsi="標楷體" w:hint="eastAsia"/>
          <w:color w:val="000000" w:themeColor="text1"/>
          <w:sz w:val="40"/>
          <w:szCs w:val="40"/>
        </w:rPr>
      </w:pPr>
      <w:r w:rsidRPr="00033595">
        <w:rPr>
          <w:rFonts w:ascii="標楷體" w:eastAsia="標楷體" w:hAnsi="標楷體"/>
          <w:color w:val="000000" w:themeColor="text1"/>
          <w:sz w:val="40"/>
          <w:szCs w:val="40"/>
        </w:rPr>
        <w:t>醫療事故預防及</w:t>
      </w:r>
      <w:r w:rsidR="00762E34" w:rsidRPr="00033595">
        <w:rPr>
          <w:rFonts w:ascii="標楷體" w:eastAsia="標楷體" w:hAnsi="標楷體" w:hint="eastAsia"/>
          <w:color w:val="000000" w:themeColor="text1"/>
          <w:sz w:val="40"/>
          <w:szCs w:val="40"/>
        </w:rPr>
        <w:t>爭議</w:t>
      </w:r>
      <w:r w:rsidRPr="00033595">
        <w:rPr>
          <w:rFonts w:ascii="標楷體" w:eastAsia="標楷體" w:hAnsi="標楷體"/>
          <w:color w:val="000000" w:themeColor="text1"/>
          <w:sz w:val="40"/>
          <w:szCs w:val="40"/>
        </w:rPr>
        <w:t>處理法</w:t>
      </w:r>
      <w:r w:rsidR="009C0009" w:rsidRPr="00033595">
        <w:rPr>
          <w:rFonts w:ascii="標楷體" w:eastAsia="標楷體" w:hAnsi="標楷體"/>
          <w:color w:val="000000" w:themeColor="text1"/>
          <w:sz w:val="40"/>
          <w:szCs w:val="40"/>
        </w:rPr>
        <w:t>草案</w:t>
      </w:r>
    </w:p>
    <w:p w14:paraId="60863781" w14:textId="77777777" w:rsidR="0032704F" w:rsidRPr="00033595" w:rsidRDefault="0032704F" w:rsidP="007C4F44">
      <w:pPr>
        <w:spacing w:beforeLines="50" w:before="180" w:afterLines="50" w:after="180"/>
        <w:jc w:val="center"/>
        <w:rPr>
          <w:rFonts w:ascii="標楷體" w:eastAsia="標楷體" w:hAnsi="標楷體"/>
          <w:color w:val="000000" w:themeColor="text1"/>
          <w:sz w:val="40"/>
          <w:szCs w:val="40"/>
        </w:rPr>
      </w:pPr>
    </w:p>
    <w:tbl>
      <w:tblPr>
        <w:tblpPr w:leftFromText="181" w:rightFromText="181" w:vertAnchor="text" w:horzAnchor="margin" w:tblpY="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6"/>
        <w:gridCol w:w="4677"/>
      </w:tblGrid>
      <w:tr w:rsidR="00CD6133" w:rsidRPr="00076962" w14:paraId="50B9A03B" w14:textId="55F4213D" w:rsidTr="0032704F">
        <w:trPr>
          <w:tblHeader/>
        </w:trPr>
        <w:tc>
          <w:tcPr>
            <w:tcW w:w="46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DB6C9E" w14:textId="3ABB6452" w:rsidR="00CD6133" w:rsidRPr="00C80E22" w:rsidRDefault="00CD6133" w:rsidP="00CD6133">
            <w:pPr>
              <w:jc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行政院版</w:t>
            </w:r>
          </w:p>
        </w:tc>
        <w:tc>
          <w:tcPr>
            <w:tcW w:w="46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CE2B7FF" w14:textId="16272A98" w:rsidR="00CD6133" w:rsidRPr="00055449" w:rsidRDefault="00525619" w:rsidP="00CD6133">
            <w:pPr>
              <w:overflowPunct w:val="0"/>
              <w:jc w:val="center"/>
              <w:rPr>
                <w:rFonts w:ascii="Times New Roman" w:eastAsia="標楷體" w:hAnsi="Times New Roman"/>
                <w:szCs w:val="24"/>
              </w:rPr>
            </w:pPr>
            <w:r>
              <w:rPr>
                <w:rFonts w:ascii="Times New Roman" w:eastAsia="標楷體" w:hAnsi="Times New Roman" w:hint="eastAsia"/>
                <w:szCs w:val="24"/>
              </w:rPr>
              <w:t>醫改會建議條文</w:t>
            </w:r>
          </w:p>
        </w:tc>
        <w:tc>
          <w:tcPr>
            <w:tcW w:w="467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156CC0" w14:textId="36523BF3" w:rsidR="00CD6133" w:rsidRPr="00DA2803" w:rsidRDefault="00525619" w:rsidP="00DA2803">
            <w:pPr>
              <w:tabs>
                <w:tab w:val="left" w:pos="413"/>
              </w:tabs>
              <w:overflowPunct w:val="0"/>
              <w:ind w:leftChars="1" w:left="2" w:firstLineChars="177" w:firstLine="425"/>
              <w:rPr>
                <w:rFonts w:ascii="標楷體" w:eastAsia="標楷體" w:hAnsi="標楷體"/>
                <w:szCs w:val="24"/>
              </w:rPr>
            </w:pPr>
            <w:r w:rsidRPr="00DA2803">
              <w:rPr>
                <w:rFonts w:ascii="標楷體" w:eastAsia="標楷體" w:hAnsi="標楷體" w:hint="eastAsia"/>
                <w:szCs w:val="24"/>
              </w:rPr>
              <w:t>醫改會修正理由</w:t>
            </w:r>
            <w:r w:rsidR="0050573A">
              <w:rPr>
                <w:rFonts w:ascii="標楷體" w:eastAsia="標楷體" w:hAnsi="標楷體" w:hint="eastAsia"/>
                <w:szCs w:val="24"/>
              </w:rPr>
              <w:t>(對照政院版)</w:t>
            </w:r>
          </w:p>
        </w:tc>
      </w:tr>
      <w:tr w:rsidR="00CD6133" w:rsidRPr="00076962" w14:paraId="1FF9BC64" w14:textId="4E675005" w:rsidTr="00CD6133">
        <w:tc>
          <w:tcPr>
            <w:tcW w:w="4676" w:type="dxa"/>
            <w:tcBorders>
              <w:top w:val="single" w:sz="4" w:space="0" w:color="auto"/>
            </w:tcBorders>
          </w:tcPr>
          <w:p w14:paraId="773C0C53" w14:textId="4CD28583"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第一條　為保障病人就醫權益，妥速處理醫療爭議，加強維護病人安全，促進醫病和諧關係，特制定本法。</w:t>
            </w:r>
          </w:p>
        </w:tc>
        <w:tc>
          <w:tcPr>
            <w:tcW w:w="4676" w:type="dxa"/>
            <w:tcBorders>
              <w:top w:val="single" w:sz="4" w:space="0" w:color="auto"/>
            </w:tcBorders>
          </w:tcPr>
          <w:p w14:paraId="55B1C5AF" w14:textId="2639BC13" w:rsidR="00CD6133" w:rsidRPr="00055449" w:rsidRDefault="00BF1F71" w:rsidP="00CD6133">
            <w:pPr>
              <w:ind w:left="238" w:hanging="238"/>
              <w:jc w:val="both"/>
              <w:rPr>
                <w:rFonts w:ascii="Times New Roman" w:eastAsia="標楷體" w:hAnsi="Times New Roman"/>
                <w:szCs w:val="24"/>
              </w:rPr>
            </w:pPr>
            <w:r w:rsidRPr="00C80E22">
              <w:rPr>
                <w:rFonts w:ascii="標楷體" w:eastAsia="標楷體" w:hAnsi="標楷體" w:hint="eastAsia"/>
                <w:color w:val="000000" w:themeColor="text1"/>
                <w:szCs w:val="24"/>
              </w:rPr>
              <w:t>第一條　為保障病人就醫權益，妥速處理醫療</w:t>
            </w:r>
            <w:r w:rsidRPr="00356034">
              <w:rPr>
                <w:rFonts w:ascii="標楷體" w:eastAsia="標楷體" w:hAnsi="標楷體" w:hint="eastAsia"/>
                <w:b/>
                <w:color w:val="E36C0A" w:themeColor="accent6" w:themeShade="BF"/>
                <w:szCs w:val="24"/>
                <w:u w:val="single"/>
              </w:rPr>
              <w:t>事故</w:t>
            </w:r>
            <w:r w:rsidRPr="00C80E22">
              <w:rPr>
                <w:rFonts w:ascii="標楷體" w:eastAsia="標楷體" w:hAnsi="標楷體" w:hint="eastAsia"/>
                <w:color w:val="000000" w:themeColor="text1"/>
                <w:szCs w:val="24"/>
              </w:rPr>
              <w:t>爭議，加強維護病人安全，促進醫病和諧關係，特制定本法</w:t>
            </w:r>
            <w:r w:rsidR="00504385" w:rsidRPr="00C80E22">
              <w:rPr>
                <w:rFonts w:ascii="標楷體" w:eastAsia="標楷體" w:hAnsi="標楷體" w:hint="eastAsia"/>
                <w:color w:val="000000" w:themeColor="text1"/>
                <w:szCs w:val="24"/>
              </w:rPr>
              <w:t>。</w:t>
            </w:r>
          </w:p>
        </w:tc>
        <w:tc>
          <w:tcPr>
            <w:tcW w:w="4677" w:type="dxa"/>
            <w:tcBorders>
              <w:top w:val="single" w:sz="4" w:space="0" w:color="auto"/>
            </w:tcBorders>
          </w:tcPr>
          <w:p w14:paraId="111A82E7" w14:textId="5F4190F7" w:rsidR="00CD6133" w:rsidRPr="00DA2803" w:rsidRDefault="00B879B5" w:rsidP="00356034">
            <w:pPr>
              <w:tabs>
                <w:tab w:val="left" w:pos="413"/>
              </w:tabs>
              <w:ind w:leftChars="1" w:left="2"/>
              <w:rPr>
                <w:rFonts w:ascii="標楷體" w:eastAsia="標楷體" w:hAnsi="標楷體"/>
                <w:color w:val="000000" w:themeColor="text1"/>
                <w:szCs w:val="24"/>
              </w:rPr>
            </w:pPr>
            <w:r w:rsidRPr="00DA2803">
              <w:rPr>
                <w:rFonts w:ascii="標楷體" w:eastAsia="標楷體" w:hAnsi="標楷體" w:hint="eastAsia"/>
                <w:color w:val="000000" w:themeColor="text1"/>
                <w:szCs w:val="24"/>
              </w:rPr>
              <w:t>為與現行《醫療法》第99條第三款所稱各縣市醫審會調處之醫療爭議有所區隔，並彰顯本法為處理醫療事故有關而非收費或態度等爭議之專法，爰建議將本法所稱醫療爭議，均修正為「醫療</w:t>
            </w:r>
            <w:r w:rsidRPr="00DA2803">
              <w:rPr>
                <w:rFonts w:ascii="標楷體" w:eastAsia="標楷體" w:hAnsi="標楷體" w:hint="eastAsia"/>
                <w:color w:val="FF0000"/>
                <w:szCs w:val="24"/>
                <w:u w:val="single"/>
              </w:rPr>
              <w:t>事故</w:t>
            </w:r>
            <w:r w:rsidRPr="00DA2803">
              <w:rPr>
                <w:rFonts w:ascii="標楷體" w:eastAsia="標楷體" w:hAnsi="標楷體" w:hint="eastAsia"/>
                <w:color w:val="000000" w:themeColor="text1"/>
                <w:szCs w:val="24"/>
              </w:rPr>
              <w:t>爭議」</w:t>
            </w:r>
          </w:p>
        </w:tc>
      </w:tr>
      <w:tr w:rsidR="00CD6133" w:rsidRPr="00076962" w14:paraId="5983EA7B" w14:textId="0D3DD300" w:rsidTr="00CD6133">
        <w:tc>
          <w:tcPr>
            <w:tcW w:w="4676" w:type="dxa"/>
            <w:tcBorders>
              <w:bottom w:val="single" w:sz="4" w:space="0" w:color="auto"/>
            </w:tcBorders>
          </w:tcPr>
          <w:p w14:paraId="27976551" w14:textId="5F91A1C3"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第三條　本法用詞，定義如下：</w:t>
            </w:r>
          </w:p>
          <w:p w14:paraId="7F5E8131" w14:textId="2191A91C" w:rsidR="00CD6133" w:rsidRPr="00C80E22" w:rsidRDefault="00CD6133" w:rsidP="00CD6133">
            <w:pPr>
              <w:pStyle w:val="a7"/>
              <w:numPr>
                <w:ilvl w:val="0"/>
                <w:numId w:val="1"/>
              </w:numPr>
              <w:kinsoku w:val="0"/>
              <w:overflowPunct w:val="0"/>
              <w:autoSpaceDE w:val="0"/>
              <w:ind w:leftChars="0" w:left="740" w:hanging="504"/>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醫療事故：指病人接受醫療機構之醫事服務，發生重大傷害或死亡之結果。</w:t>
            </w:r>
          </w:p>
          <w:p w14:paraId="678F2AE3" w14:textId="77777777" w:rsidR="00CD6133" w:rsidRPr="00C80E22" w:rsidRDefault="00CD6133" w:rsidP="00CD6133">
            <w:pPr>
              <w:pStyle w:val="a7"/>
              <w:numPr>
                <w:ilvl w:val="0"/>
                <w:numId w:val="1"/>
              </w:numPr>
              <w:kinsoku w:val="0"/>
              <w:overflowPunct w:val="0"/>
              <w:autoSpaceDE w:val="0"/>
              <w:ind w:leftChars="0" w:left="740" w:hanging="504"/>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醫療爭議：指病人方之當事人認為醫療不良結果應由醫事人員、醫療機構負責所生爭議。</w:t>
            </w:r>
          </w:p>
          <w:p w14:paraId="5DCC6806" w14:textId="7A6D2A7E" w:rsidR="00CD6133" w:rsidRPr="00C80E22" w:rsidRDefault="00CD6133" w:rsidP="00CD6133">
            <w:pPr>
              <w:pStyle w:val="a7"/>
              <w:numPr>
                <w:ilvl w:val="0"/>
                <w:numId w:val="1"/>
              </w:numPr>
              <w:kinsoku w:val="0"/>
              <w:overflowPunct w:val="0"/>
              <w:autoSpaceDE w:val="0"/>
              <w:ind w:leftChars="0" w:left="740" w:hanging="504"/>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當事人：指與醫療爭議有關之醫事人員、醫療機構、病人或其他依法得提起訴訟之人。</w:t>
            </w:r>
          </w:p>
        </w:tc>
        <w:tc>
          <w:tcPr>
            <w:tcW w:w="4676" w:type="dxa"/>
            <w:tcBorders>
              <w:bottom w:val="single" w:sz="4" w:space="0" w:color="auto"/>
            </w:tcBorders>
          </w:tcPr>
          <w:p w14:paraId="393ADDF6" w14:textId="77777777" w:rsidR="00CD6133" w:rsidRPr="00055449" w:rsidRDefault="00CD6133" w:rsidP="00CD6133">
            <w:pPr>
              <w:ind w:left="238" w:hanging="238"/>
              <w:jc w:val="both"/>
              <w:rPr>
                <w:rFonts w:ascii="Times New Roman" w:eastAsia="標楷體" w:hAnsi="Times New Roman"/>
              </w:rPr>
            </w:pPr>
            <w:r w:rsidRPr="00055449">
              <w:rPr>
                <w:rFonts w:ascii="Times New Roman" w:eastAsia="標楷體" w:hAnsi="Times New Roman" w:hint="eastAsia"/>
              </w:rPr>
              <w:t>第三條　本法用詞，定義如下：</w:t>
            </w:r>
          </w:p>
          <w:p w14:paraId="226201B5" w14:textId="677DA26E" w:rsidR="00CD6133" w:rsidRPr="0009125F" w:rsidRDefault="00CD6133" w:rsidP="00CD6133">
            <w:pPr>
              <w:pStyle w:val="a7"/>
              <w:numPr>
                <w:ilvl w:val="0"/>
                <w:numId w:val="8"/>
              </w:numPr>
              <w:kinsoku w:val="0"/>
              <w:overflowPunct w:val="0"/>
              <w:autoSpaceDE w:val="0"/>
              <w:ind w:leftChars="0" w:left="742" w:hanging="565"/>
              <w:jc w:val="both"/>
              <w:textAlignment w:val="center"/>
              <w:rPr>
                <w:rFonts w:ascii="標楷體" w:eastAsia="標楷體" w:hAnsi="標楷體"/>
                <w:szCs w:val="24"/>
              </w:rPr>
            </w:pPr>
            <w:r w:rsidRPr="0009125F">
              <w:rPr>
                <w:rFonts w:ascii="標楷體" w:eastAsia="標楷體" w:hAnsi="標楷體" w:hint="eastAsia"/>
                <w:szCs w:val="24"/>
              </w:rPr>
              <w:t>醫療事故：指病人接受醫療機構之醫事服務，發生重大傷害或死亡之結果。</w:t>
            </w:r>
            <w:bookmarkStart w:id="0" w:name="_GoBack"/>
            <w:bookmarkEnd w:id="0"/>
          </w:p>
          <w:p w14:paraId="24E84057" w14:textId="53BAB93A" w:rsidR="00CD6133" w:rsidRPr="0009125F" w:rsidRDefault="00CD6133" w:rsidP="00CD6133">
            <w:pPr>
              <w:pStyle w:val="a7"/>
              <w:numPr>
                <w:ilvl w:val="0"/>
                <w:numId w:val="8"/>
              </w:numPr>
              <w:kinsoku w:val="0"/>
              <w:overflowPunct w:val="0"/>
              <w:autoSpaceDE w:val="0"/>
              <w:ind w:leftChars="0" w:left="742" w:hanging="565"/>
              <w:jc w:val="both"/>
              <w:textAlignment w:val="center"/>
              <w:rPr>
                <w:rFonts w:ascii="標楷體" w:eastAsia="標楷體" w:hAnsi="標楷體"/>
                <w:szCs w:val="24"/>
              </w:rPr>
            </w:pPr>
            <w:r w:rsidRPr="0009125F">
              <w:rPr>
                <w:rFonts w:ascii="標楷體" w:eastAsia="標楷體" w:hAnsi="標楷體" w:hint="eastAsia"/>
                <w:szCs w:val="24"/>
              </w:rPr>
              <w:t>醫療</w:t>
            </w:r>
            <w:r w:rsidRPr="00356034">
              <w:rPr>
                <w:rFonts w:ascii="標楷體" w:eastAsia="標楷體" w:hAnsi="標楷體" w:hint="eastAsia"/>
                <w:b/>
                <w:color w:val="E36C0A" w:themeColor="accent6" w:themeShade="BF"/>
                <w:szCs w:val="24"/>
                <w:u w:val="single"/>
              </w:rPr>
              <w:t>事故</w:t>
            </w:r>
            <w:r w:rsidRPr="0009125F">
              <w:rPr>
                <w:rFonts w:ascii="標楷體" w:eastAsia="標楷體" w:hAnsi="標楷體" w:hint="eastAsia"/>
                <w:szCs w:val="24"/>
              </w:rPr>
              <w:t>爭議：指病人方之當事人</w:t>
            </w:r>
            <w:r w:rsidRPr="00356034">
              <w:rPr>
                <w:rFonts w:ascii="標楷體" w:eastAsia="標楷體" w:hAnsi="標楷體" w:hint="eastAsia"/>
                <w:b/>
                <w:color w:val="E36C0A" w:themeColor="accent6" w:themeShade="BF"/>
                <w:szCs w:val="24"/>
                <w:u w:val="single"/>
              </w:rPr>
              <w:t>與醫事人員或醫療機構間，對於醫療事故之責任歸屬之爭議</w:t>
            </w:r>
            <w:r w:rsidRPr="0009125F">
              <w:rPr>
                <w:rFonts w:ascii="標楷體" w:eastAsia="標楷體" w:hAnsi="標楷體" w:hint="eastAsia"/>
                <w:szCs w:val="24"/>
              </w:rPr>
              <w:t>。</w:t>
            </w:r>
          </w:p>
          <w:p w14:paraId="3FB68E75" w14:textId="60E93F36" w:rsidR="00CD6133" w:rsidRPr="00055449" w:rsidRDefault="00CD6133" w:rsidP="00CD6133">
            <w:pPr>
              <w:pStyle w:val="a7"/>
              <w:numPr>
                <w:ilvl w:val="0"/>
                <w:numId w:val="8"/>
              </w:numPr>
              <w:kinsoku w:val="0"/>
              <w:overflowPunct w:val="0"/>
              <w:autoSpaceDE w:val="0"/>
              <w:ind w:leftChars="0" w:left="742" w:hanging="565"/>
              <w:jc w:val="both"/>
              <w:textAlignment w:val="center"/>
              <w:rPr>
                <w:rFonts w:ascii="Times New Roman" w:eastAsia="標楷體" w:hAnsi="Times New Roman"/>
                <w:szCs w:val="24"/>
              </w:rPr>
            </w:pPr>
            <w:r w:rsidRPr="0009125F">
              <w:rPr>
                <w:rFonts w:ascii="標楷體" w:eastAsia="標楷體" w:hAnsi="標楷體" w:hint="eastAsia"/>
                <w:szCs w:val="24"/>
              </w:rPr>
              <w:t>當事人：指與醫療</w:t>
            </w:r>
            <w:r w:rsidRPr="00356034">
              <w:rPr>
                <w:rFonts w:ascii="標楷體" w:eastAsia="標楷體" w:hAnsi="標楷體" w:hint="eastAsia"/>
                <w:b/>
                <w:color w:val="E36C0A" w:themeColor="accent6" w:themeShade="BF"/>
                <w:szCs w:val="24"/>
                <w:u w:val="single"/>
              </w:rPr>
              <w:t>事故</w:t>
            </w:r>
            <w:r w:rsidRPr="0009125F">
              <w:rPr>
                <w:rFonts w:ascii="標楷體" w:eastAsia="標楷體" w:hAnsi="標楷體" w:hint="eastAsia"/>
                <w:szCs w:val="24"/>
              </w:rPr>
              <w:t>爭議有關之</w:t>
            </w:r>
            <w:r w:rsidRPr="00356034">
              <w:rPr>
                <w:rFonts w:ascii="標楷體" w:eastAsia="標楷體" w:hAnsi="標楷體" w:hint="eastAsia"/>
                <w:dstrike/>
                <w:color w:val="FF0000"/>
                <w:szCs w:val="24"/>
              </w:rPr>
              <w:t>醫事人員、</w:t>
            </w:r>
            <w:r w:rsidRPr="0009125F">
              <w:rPr>
                <w:rFonts w:ascii="標楷體" w:eastAsia="標楷體" w:hAnsi="標楷體" w:hint="eastAsia"/>
                <w:szCs w:val="24"/>
              </w:rPr>
              <w:t>醫療機構、病人或其他依法得提起訴訟之人。</w:t>
            </w:r>
          </w:p>
        </w:tc>
        <w:tc>
          <w:tcPr>
            <w:tcW w:w="4677" w:type="dxa"/>
            <w:tcBorders>
              <w:bottom w:val="single" w:sz="4" w:space="0" w:color="auto"/>
            </w:tcBorders>
          </w:tcPr>
          <w:p w14:paraId="7EFCEC1C" w14:textId="50C6A2B5" w:rsidR="00CD6133" w:rsidRPr="00DA2803" w:rsidRDefault="00494C68" w:rsidP="00356034">
            <w:pPr>
              <w:tabs>
                <w:tab w:val="left" w:pos="413"/>
              </w:tabs>
              <w:kinsoku w:val="0"/>
              <w:overflowPunct w:val="0"/>
              <w:autoSpaceDE w:val="0"/>
              <w:ind w:leftChars="1" w:left="2"/>
              <w:textAlignment w:val="center"/>
              <w:rPr>
                <w:rFonts w:ascii="標楷體" w:eastAsia="標楷體" w:hAnsi="標楷體"/>
                <w:szCs w:val="24"/>
              </w:rPr>
            </w:pPr>
            <w:r w:rsidRPr="00DA2803">
              <w:rPr>
                <w:rFonts w:ascii="標楷體" w:eastAsia="標楷體" w:hAnsi="標楷體" w:hint="eastAsia"/>
                <w:color w:val="000000"/>
                <w:szCs w:val="24"/>
              </w:rPr>
              <w:t>鑒於醫療事故往往與系統錯誤或醫院制度有關，而非單歸咎於個人因素，且立院審查醫療法82條修正案時之立院決議也是要強化醫療機構責任，因此建議明定應以醫療機構為究責主體，刪除以醫事人員為當事人之文字。</w:t>
            </w:r>
          </w:p>
        </w:tc>
      </w:tr>
      <w:tr w:rsidR="00CD6133" w:rsidRPr="00076962" w14:paraId="56531589" w14:textId="4A51D877" w:rsidTr="00CD6133">
        <w:tc>
          <w:tcPr>
            <w:tcW w:w="4676" w:type="dxa"/>
            <w:tcBorders>
              <w:top w:val="single" w:sz="4" w:space="0" w:color="auto"/>
            </w:tcBorders>
          </w:tcPr>
          <w:p w14:paraId="55227618" w14:textId="46780FBF"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第四條　中央主管機關</w:t>
            </w:r>
            <w:r w:rsidRPr="00356034">
              <w:rPr>
                <w:rFonts w:ascii="標楷體" w:eastAsia="標楷體" w:hAnsi="標楷體" w:hint="eastAsia"/>
                <w:b/>
                <w:color w:val="FF0000"/>
                <w:szCs w:val="24"/>
              </w:rPr>
              <w:t>得</w:t>
            </w:r>
            <w:r w:rsidRPr="00C80E22">
              <w:rPr>
                <w:rFonts w:ascii="標楷體" w:eastAsia="標楷體" w:hAnsi="標楷體" w:hint="eastAsia"/>
                <w:color w:val="000000" w:themeColor="text1"/>
                <w:szCs w:val="24"/>
              </w:rPr>
              <w:t>委託具醫事專業之財團法人、機構或團體</w:t>
            </w:r>
            <w:r w:rsidRPr="00C80E22">
              <w:rPr>
                <w:rFonts w:ascii="標楷體" w:eastAsia="標楷體" w:hAnsi="標楷體"/>
                <w:color w:val="000000" w:themeColor="text1"/>
                <w:szCs w:val="24"/>
              </w:rPr>
              <w:t>(以下</w:t>
            </w:r>
            <w:r w:rsidRPr="00C80E22">
              <w:rPr>
                <w:rFonts w:ascii="標楷體" w:eastAsia="標楷體" w:hAnsi="標楷體" w:hint="eastAsia"/>
                <w:color w:val="000000" w:themeColor="text1"/>
                <w:szCs w:val="24"/>
              </w:rPr>
              <w:t>稱受託團體</w:t>
            </w:r>
            <w:r w:rsidRPr="00C80E22">
              <w:rPr>
                <w:rFonts w:ascii="標楷體" w:eastAsia="標楷體" w:hAnsi="標楷體"/>
                <w:color w:val="000000" w:themeColor="text1"/>
                <w:szCs w:val="24"/>
              </w:rPr>
              <w:t>)</w:t>
            </w:r>
            <w:r w:rsidRPr="00C80E22">
              <w:rPr>
                <w:rFonts w:ascii="標楷體" w:eastAsia="標楷體" w:hAnsi="標楷體" w:hint="eastAsia"/>
                <w:color w:val="000000" w:themeColor="text1"/>
                <w:szCs w:val="24"/>
              </w:rPr>
              <w:t>辦理醫療爭議之爭點整理或評析意見；必要時，得捐助成立財團法人辦理之。</w:t>
            </w:r>
          </w:p>
          <w:p w14:paraId="261966AA" w14:textId="1A4846B9"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受託團體辦理前項業務時，應秉持公正、客觀及中立立場，提供有關醫事專業之意見，並以雙向匿名方式處理。</w:t>
            </w:r>
          </w:p>
          <w:p w14:paraId="37844979" w14:textId="6958F370"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第一項受託團體之資格、提供爭點整理或評析意見之作業程序及其他相關事項之辦法，由中央主管機關定之。</w:t>
            </w:r>
          </w:p>
          <w:p w14:paraId="690365E5" w14:textId="77777777"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評析意見不得採為相關行政處分、訴訟之證據或裁判基礎。</w:t>
            </w:r>
          </w:p>
          <w:p w14:paraId="4873AB1C" w14:textId="34B73812"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中央主管機關得隨時要求受託團體提出業務及財務報告，並得隨時派員檢查其業務狀況、會計帳簿或其他相關資料。</w:t>
            </w:r>
          </w:p>
        </w:tc>
        <w:tc>
          <w:tcPr>
            <w:tcW w:w="4676" w:type="dxa"/>
            <w:tcBorders>
              <w:top w:val="single" w:sz="4" w:space="0" w:color="auto"/>
            </w:tcBorders>
          </w:tcPr>
          <w:p w14:paraId="38FB3C3E" w14:textId="32CBD674" w:rsidR="00BF1F71" w:rsidRPr="00C80E22" w:rsidRDefault="00BF1F71" w:rsidP="00BF1F71">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第四條　中央主管機關</w:t>
            </w:r>
            <w:r w:rsidRPr="00356034">
              <w:rPr>
                <w:rFonts w:ascii="標楷體" w:eastAsia="標楷體" w:hAnsi="標楷體" w:hint="eastAsia"/>
                <w:b/>
                <w:color w:val="E36C0A" w:themeColor="accent6" w:themeShade="BF"/>
                <w:szCs w:val="24"/>
                <w:u w:val="single"/>
              </w:rPr>
              <w:t>應</w:t>
            </w:r>
            <w:r>
              <w:rPr>
                <w:rFonts w:ascii="標楷體" w:eastAsia="標楷體" w:hAnsi="標楷體" w:hint="eastAsia"/>
                <w:b/>
                <w:color w:val="E36C0A" w:themeColor="accent6" w:themeShade="BF"/>
                <w:szCs w:val="24"/>
                <w:u w:val="single"/>
              </w:rPr>
              <w:t>自行或</w:t>
            </w:r>
            <w:r w:rsidRPr="00C80E22">
              <w:rPr>
                <w:rFonts w:ascii="標楷體" w:eastAsia="標楷體" w:hAnsi="標楷體" w:hint="eastAsia"/>
                <w:color w:val="000000" w:themeColor="text1"/>
                <w:szCs w:val="24"/>
              </w:rPr>
              <w:t>委託</w:t>
            </w:r>
            <w:r w:rsidRPr="00356034">
              <w:rPr>
                <w:rFonts w:ascii="標楷體" w:eastAsia="標楷體" w:hAnsi="標楷體" w:hint="eastAsia"/>
                <w:dstrike/>
                <w:color w:val="FF0000"/>
                <w:szCs w:val="24"/>
              </w:rPr>
              <w:t>具醫事專業之</w:t>
            </w:r>
            <w:r w:rsidRPr="00C80E22">
              <w:rPr>
                <w:rFonts w:ascii="標楷體" w:eastAsia="標楷體" w:hAnsi="標楷體" w:hint="eastAsia"/>
                <w:color w:val="000000" w:themeColor="text1"/>
                <w:szCs w:val="24"/>
              </w:rPr>
              <w:t>財團法人、機構或團體</w:t>
            </w:r>
            <w:r w:rsidRPr="00C80E22">
              <w:rPr>
                <w:rFonts w:ascii="標楷體" w:eastAsia="標楷體" w:hAnsi="標楷體"/>
                <w:color w:val="000000" w:themeColor="text1"/>
                <w:szCs w:val="24"/>
              </w:rPr>
              <w:t>(以下</w:t>
            </w:r>
            <w:r w:rsidRPr="00C80E22">
              <w:rPr>
                <w:rFonts w:ascii="標楷體" w:eastAsia="標楷體" w:hAnsi="標楷體" w:hint="eastAsia"/>
                <w:color w:val="000000" w:themeColor="text1"/>
                <w:szCs w:val="24"/>
              </w:rPr>
              <w:t>稱受託團體</w:t>
            </w:r>
            <w:r w:rsidRPr="00C80E22">
              <w:rPr>
                <w:rFonts w:ascii="標楷體" w:eastAsia="標楷體" w:hAnsi="標楷體"/>
                <w:color w:val="000000" w:themeColor="text1"/>
                <w:szCs w:val="24"/>
              </w:rPr>
              <w:t>)</w:t>
            </w:r>
            <w:r w:rsidRPr="00C80E22">
              <w:rPr>
                <w:rFonts w:ascii="標楷體" w:eastAsia="標楷體" w:hAnsi="標楷體" w:hint="eastAsia"/>
                <w:color w:val="000000" w:themeColor="text1"/>
                <w:szCs w:val="24"/>
              </w:rPr>
              <w:t>辦理醫療</w:t>
            </w:r>
            <w:r w:rsidRPr="00356034">
              <w:rPr>
                <w:rFonts w:ascii="標楷體" w:eastAsia="標楷體" w:hAnsi="標楷體" w:hint="eastAsia"/>
                <w:b/>
                <w:color w:val="E36C0A" w:themeColor="accent6" w:themeShade="BF"/>
                <w:szCs w:val="24"/>
                <w:u w:val="single"/>
              </w:rPr>
              <w:t>事故</w:t>
            </w:r>
            <w:r w:rsidRPr="00C80E22">
              <w:rPr>
                <w:rFonts w:ascii="標楷體" w:eastAsia="標楷體" w:hAnsi="標楷體" w:hint="eastAsia"/>
                <w:color w:val="000000" w:themeColor="text1"/>
                <w:szCs w:val="24"/>
              </w:rPr>
              <w:t>爭議之爭點整理或評析意見；必要時，得捐助成立財團法人辦理之。</w:t>
            </w:r>
          </w:p>
          <w:p w14:paraId="1942E188" w14:textId="77777777" w:rsidR="00BF1F71" w:rsidRPr="00C80E22" w:rsidRDefault="00BF1F71" w:rsidP="00BF1F71">
            <w:pPr>
              <w:ind w:left="238" w:firstLineChars="202" w:firstLine="485"/>
              <w:jc w:val="both"/>
              <w:rPr>
                <w:rFonts w:ascii="標楷體" w:eastAsia="標楷體" w:hAnsi="標楷體"/>
                <w:color w:val="000000" w:themeColor="text1"/>
                <w:szCs w:val="24"/>
              </w:rPr>
            </w:pPr>
            <w:r w:rsidRPr="00356034">
              <w:rPr>
                <w:rFonts w:ascii="標楷體" w:eastAsia="標楷體" w:hAnsi="標楷體" w:hint="eastAsia"/>
                <w:dstrike/>
                <w:color w:val="FF0000"/>
                <w:szCs w:val="24"/>
              </w:rPr>
              <w:t>受託團體</w:t>
            </w:r>
            <w:r w:rsidRPr="00B879B5">
              <w:rPr>
                <w:rFonts w:ascii="標楷體" w:eastAsia="標楷體" w:hAnsi="標楷體" w:hint="eastAsia"/>
                <w:color w:val="000000" w:themeColor="text1"/>
                <w:szCs w:val="24"/>
              </w:rPr>
              <w:t>辦理</w:t>
            </w:r>
            <w:r w:rsidRPr="00C80E22">
              <w:rPr>
                <w:rFonts w:ascii="標楷體" w:eastAsia="標楷體" w:hAnsi="標楷體" w:hint="eastAsia"/>
                <w:color w:val="000000" w:themeColor="text1"/>
                <w:szCs w:val="24"/>
              </w:rPr>
              <w:t>前項業務時，應秉持公正、客觀及中立立場</w:t>
            </w:r>
            <w:r w:rsidRPr="00356034">
              <w:rPr>
                <w:rFonts w:ascii="標楷體" w:eastAsia="標楷體" w:hAnsi="標楷體" w:hint="eastAsia"/>
                <w:dstrike/>
                <w:color w:val="FF0000"/>
                <w:szCs w:val="24"/>
              </w:rPr>
              <w:t>，提供有關醫事專業之意見，並以雙向匿名方式處理</w:t>
            </w:r>
            <w:r w:rsidRPr="00C80E22">
              <w:rPr>
                <w:rFonts w:ascii="標楷體" w:eastAsia="標楷體" w:hAnsi="標楷體" w:hint="eastAsia"/>
                <w:color w:val="000000" w:themeColor="text1"/>
                <w:szCs w:val="24"/>
              </w:rPr>
              <w:t>。</w:t>
            </w:r>
          </w:p>
          <w:p w14:paraId="35D2CB11" w14:textId="77777777" w:rsidR="00BF1F71" w:rsidRPr="00C80E22" w:rsidRDefault="00BF1F71" w:rsidP="00BF1F71">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第一項受託團體之資格、提供爭點整理或評析意見之作業程序及其他相關事項之辦法，由中央主管機關定之。</w:t>
            </w:r>
          </w:p>
          <w:p w14:paraId="72C5088A" w14:textId="77777777" w:rsidR="00BF1F71" w:rsidRPr="00356034" w:rsidRDefault="00BF1F71" w:rsidP="00BF1F71">
            <w:pPr>
              <w:ind w:left="238" w:firstLineChars="202" w:firstLine="485"/>
              <w:jc w:val="both"/>
              <w:rPr>
                <w:rFonts w:ascii="標楷體" w:eastAsia="標楷體" w:hAnsi="標楷體"/>
                <w:dstrike/>
                <w:color w:val="FF0000"/>
                <w:szCs w:val="24"/>
              </w:rPr>
            </w:pPr>
            <w:r w:rsidRPr="00356034">
              <w:rPr>
                <w:rFonts w:ascii="標楷體" w:eastAsia="標楷體" w:hAnsi="標楷體" w:hint="eastAsia"/>
                <w:dstrike/>
                <w:color w:val="FF0000"/>
                <w:szCs w:val="24"/>
              </w:rPr>
              <w:t>評析意見不得採為相關行政處分、訴訟之證據或裁判基礎。</w:t>
            </w:r>
          </w:p>
          <w:p w14:paraId="18783341" w14:textId="0BE58D46" w:rsidR="00CD6133" w:rsidRPr="00055449" w:rsidRDefault="00BF1F71" w:rsidP="00BF1F71">
            <w:pPr>
              <w:ind w:left="238" w:firstLineChars="202" w:firstLine="485"/>
              <w:jc w:val="both"/>
              <w:rPr>
                <w:rFonts w:ascii="Times New Roman" w:eastAsia="標楷體" w:hAnsi="Times New Roman"/>
                <w:szCs w:val="24"/>
              </w:rPr>
            </w:pPr>
            <w:r w:rsidRPr="00C80E22">
              <w:rPr>
                <w:rFonts w:ascii="標楷體" w:eastAsia="標楷體" w:hAnsi="標楷體" w:hint="eastAsia"/>
                <w:color w:val="000000" w:themeColor="text1"/>
                <w:szCs w:val="24"/>
              </w:rPr>
              <w:t>中央主管機關得隨時要求受託團體提出業務及財務報告，並得隨時派員檢查其業務狀況、會計帳簿或其他相關資料。</w:t>
            </w:r>
          </w:p>
        </w:tc>
        <w:tc>
          <w:tcPr>
            <w:tcW w:w="4677" w:type="dxa"/>
            <w:tcBorders>
              <w:top w:val="single" w:sz="4" w:space="0" w:color="auto"/>
            </w:tcBorders>
          </w:tcPr>
          <w:p w14:paraId="35BBC37F" w14:textId="77777777" w:rsidR="00494C68" w:rsidRPr="00DA2803" w:rsidRDefault="00494C68" w:rsidP="00DA2803">
            <w:pPr>
              <w:tabs>
                <w:tab w:val="left" w:pos="413"/>
              </w:tabs>
              <w:spacing w:beforeLines="10" w:before="36" w:afterLines="10" w:after="36" w:line="440" w:lineRule="exact"/>
              <w:ind w:left="287" w:hanging="283"/>
              <w:rPr>
                <w:rFonts w:ascii="標楷體" w:eastAsia="標楷體" w:hAnsi="標楷體"/>
                <w:color w:val="000000"/>
                <w:szCs w:val="24"/>
              </w:rPr>
            </w:pPr>
            <w:r w:rsidRPr="00DA2803">
              <w:rPr>
                <w:rFonts w:ascii="標楷體" w:eastAsia="標楷體" w:hAnsi="標楷體" w:hint="eastAsia"/>
                <w:color w:val="000000"/>
                <w:szCs w:val="24"/>
              </w:rPr>
              <w:t>1.辦理釐清爭點及評析意見之團體，</w:t>
            </w:r>
            <w:r w:rsidRPr="00DA2803">
              <w:rPr>
                <w:rFonts w:ascii="標楷體" w:eastAsia="標楷體" w:hAnsi="標楷體" w:hint="eastAsia"/>
                <w:color w:val="000000"/>
                <w:szCs w:val="24"/>
                <w:highlight w:val="yellow"/>
              </w:rPr>
              <w:t>應不限醫事專業團體</w:t>
            </w:r>
            <w:r w:rsidRPr="00DA2803">
              <w:rPr>
                <w:rFonts w:ascii="標楷體" w:eastAsia="標楷體" w:hAnsi="標楷體" w:hint="eastAsia"/>
                <w:color w:val="000000"/>
                <w:szCs w:val="24"/>
              </w:rPr>
              <w:t>，以避免給外界有醫醫相護之疑慮。且103年上屆立委審查醫糾法的版本，也未要求只限醫界團體才能做初步鑑定。</w:t>
            </w:r>
          </w:p>
          <w:p w14:paraId="7F47AA36" w14:textId="77777777" w:rsidR="00494C68" w:rsidRPr="00DA2803" w:rsidRDefault="00494C68" w:rsidP="00DA2803">
            <w:pPr>
              <w:tabs>
                <w:tab w:val="left" w:pos="413"/>
              </w:tabs>
              <w:spacing w:beforeLines="10" w:before="36" w:afterLines="10" w:after="36" w:line="440" w:lineRule="exact"/>
              <w:ind w:left="285" w:hanging="283"/>
              <w:rPr>
                <w:rFonts w:ascii="標楷體" w:eastAsia="標楷體" w:hAnsi="標楷體"/>
                <w:color w:val="000000"/>
                <w:szCs w:val="24"/>
              </w:rPr>
            </w:pPr>
            <w:r w:rsidRPr="00DA2803">
              <w:rPr>
                <w:rFonts w:ascii="標楷體" w:eastAsia="標楷體" w:hAnsi="標楷體" w:hint="eastAsia"/>
                <w:color w:val="000000"/>
                <w:szCs w:val="24"/>
              </w:rPr>
              <w:t>2.本條所提供辦理醫療事故爭議之釐清爭點及評析意見，如為當事人自費申請，不應限制其不得作為裁判或訴訟之用。「評析意見」是否得做為證據法上的證據，自然會有程序法的規定，不必要在此規範。</w:t>
            </w:r>
          </w:p>
          <w:p w14:paraId="022738B9" w14:textId="7B59D9F7" w:rsidR="00CD6133" w:rsidRPr="00DA2803" w:rsidRDefault="00494C68" w:rsidP="00DA2803">
            <w:pPr>
              <w:tabs>
                <w:tab w:val="left" w:pos="413"/>
              </w:tabs>
              <w:ind w:left="285" w:hanging="283"/>
              <w:rPr>
                <w:rFonts w:ascii="標楷體" w:eastAsia="標楷體" w:hAnsi="標楷體"/>
                <w:szCs w:val="24"/>
              </w:rPr>
            </w:pPr>
            <w:r w:rsidRPr="00DA2803">
              <w:rPr>
                <w:rFonts w:ascii="標楷體" w:eastAsia="標楷體" w:hAnsi="標楷體" w:hint="eastAsia"/>
                <w:color w:val="000000"/>
                <w:szCs w:val="24"/>
              </w:rPr>
              <w:t>3.如果是調解會送請釐清爭點及評析意見，由政府補助費用以作為非訟化調解基礎者，其訴訟使用限制應另於第19條規定，而不是在本條規定。</w:t>
            </w:r>
          </w:p>
        </w:tc>
      </w:tr>
      <w:tr w:rsidR="00CD6133" w:rsidRPr="00076962" w14:paraId="06DDE674" w14:textId="0CA2C6FA" w:rsidTr="00CD6133">
        <w:tc>
          <w:tcPr>
            <w:tcW w:w="4676" w:type="dxa"/>
            <w:tcBorders>
              <w:top w:val="single" w:sz="4" w:space="0" w:color="auto"/>
            </w:tcBorders>
          </w:tcPr>
          <w:p w14:paraId="6FD27B91" w14:textId="750ECB97"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 xml:space="preserve">第五條　</w:t>
            </w:r>
            <w:r w:rsidRPr="00C80E22">
              <w:rPr>
                <w:rFonts w:ascii="標楷體" w:eastAsia="標楷體" w:hAnsi="標楷體"/>
                <w:color w:val="000000" w:themeColor="text1"/>
                <w:szCs w:val="24"/>
              </w:rPr>
              <w:t>一百床以上醫院應設醫療事故關懷小組</w:t>
            </w:r>
            <w:r w:rsidRPr="00C80E22">
              <w:rPr>
                <w:rFonts w:ascii="標楷體" w:eastAsia="標楷體" w:hAnsi="標楷體" w:hint="eastAsia"/>
                <w:color w:val="000000" w:themeColor="text1"/>
                <w:szCs w:val="24"/>
              </w:rPr>
              <w:t>，</w:t>
            </w:r>
            <w:r w:rsidRPr="00C80E22">
              <w:rPr>
                <w:rFonts w:ascii="標楷體" w:eastAsia="標楷體" w:hAnsi="標楷體"/>
                <w:color w:val="000000" w:themeColor="text1"/>
                <w:szCs w:val="24"/>
              </w:rPr>
              <w:t>於</w:t>
            </w:r>
            <w:r w:rsidRPr="00C80E22">
              <w:rPr>
                <w:rFonts w:ascii="標楷體" w:eastAsia="標楷體" w:hAnsi="標楷體" w:hint="eastAsia"/>
                <w:color w:val="000000" w:themeColor="text1"/>
                <w:szCs w:val="24"/>
              </w:rPr>
              <w:t>非因疾病本身或醫療處置之必然結果所致之</w:t>
            </w:r>
            <w:r w:rsidRPr="00C80E22">
              <w:rPr>
                <w:rFonts w:ascii="標楷體" w:eastAsia="標楷體" w:hAnsi="標楷體"/>
                <w:color w:val="000000" w:themeColor="text1"/>
                <w:szCs w:val="24"/>
              </w:rPr>
              <w:t>醫療事故發生後</w:t>
            </w:r>
            <w:r w:rsidRPr="00C80E22">
              <w:rPr>
                <w:rFonts w:ascii="標楷體" w:eastAsia="標楷體" w:hAnsi="標楷體" w:hint="eastAsia"/>
                <w:color w:val="000000" w:themeColor="text1"/>
                <w:szCs w:val="24"/>
              </w:rPr>
              <w:t>，</w:t>
            </w:r>
            <w:r w:rsidRPr="00812968">
              <w:rPr>
                <w:rFonts w:ascii="標楷體" w:eastAsia="標楷體" w:hAnsi="標楷體"/>
                <w:b/>
                <w:color w:val="FF0000"/>
                <w:szCs w:val="24"/>
              </w:rPr>
              <w:t>儘速</w:t>
            </w:r>
            <w:r w:rsidRPr="00C80E22">
              <w:rPr>
                <w:rFonts w:ascii="標楷體" w:eastAsia="標楷體" w:hAnsi="標楷體"/>
                <w:color w:val="000000" w:themeColor="text1"/>
                <w:szCs w:val="24"/>
              </w:rPr>
              <w:t>向病人</w:t>
            </w:r>
            <w:r w:rsidRPr="00C80E22">
              <w:rPr>
                <w:rFonts w:ascii="標楷體" w:eastAsia="標楷體" w:hAnsi="標楷體" w:hint="eastAsia"/>
                <w:color w:val="000000" w:themeColor="text1"/>
                <w:szCs w:val="24"/>
              </w:rPr>
              <w:t>、</w:t>
            </w:r>
            <w:r w:rsidRPr="00C80E22">
              <w:rPr>
                <w:rFonts w:ascii="標楷體" w:eastAsia="標楷體" w:hAnsi="標楷體"/>
                <w:color w:val="000000" w:themeColor="text1"/>
                <w:szCs w:val="24"/>
              </w:rPr>
              <w:t>家屬或其代理人說明</w:t>
            </w:r>
            <w:r w:rsidRPr="00C80E22">
              <w:rPr>
                <w:rFonts w:ascii="標楷體" w:eastAsia="標楷體" w:hAnsi="標楷體" w:hint="eastAsia"/>
                <w:color w:val="000000" w:themeColor="text1"/>
                <w:szCs w:val="24"/>
              </w:rPr>
              <w:t>、</w:t>
            </w:r>
            <w:r w:rsidRPr="00C80E22">
              <w:rPr>
                <w:rFonts w:ascii="標楷體" w:eastAsia="標楷體" w:hAnsi="標楷體"/>
                <w:color w:val="000000" w:themeColor="text1"/>
                <w:szCs w:val="24"/>
              </w:rPr>
              <w:t>溝通</w:t>
            </w:r>
            <w:r w:rsidRPr="00C80E22">
              <w:rPr>
                <w:rFonts w:ascii="標楷體" w:eastAsia="標楷體" w:hAnsi="標楷體" w:hint="eastAsia"/>
                <w:color w:val="000000" w:themeColor="text1"/>
                <w:szCs w:val="24"/>
              </w:rPr>
              <w:t>，</w:t>
            </w:r>
            <w:r w:rsidRPr="00C80E22">
              <w:rPr>
                <w:rFonts w:ascii="標楷體" w:eastAsia="標楷體" w:hAnsi="標楷體"/>
                <w:color w:val="000000" w:themeColor="text1"/>
                <w:szCs w:val="24"/>
              </w:rPr>
              <w:t>並提供協助及關懷服務</w:t>
            </w:r>
            <w:r w:rsidRPr="00C80E22">
              <w:rPr>
                <w:rFonts w:ascii="標楷體" w:eastAsia="標楷體" w:hAnsi="標楷體" w:hint="eastAsia"/>
                <w:color w:val="000000" w:themeColor="text1"/>
                <w:szCs w:val="24"/>
              </w:rPr>
              <w:t>。</w:t>
            </w:r>
          </w:p>
          <w:p w14:paraId="78DB4CE1" w14:textId="0F1CFC9C"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color w:val="000000" w:themeColor="text1"/>
                <w:szCs w:val="24"/>
              </w:rPr>
              <w:t>九十九床以下醫院</w:t>
            </w:r>
            <w:r w:rsidRPr="00C80E22">
              <w:rPr>
                <w:rFonts w:ascii="標楷體" w:eastAsia="標楷體" w:hAnsi="標楷體" w:hint="eastAsia"/>
                <w:color w:val="000000" w:themeColor="text1"/>
                <w:szCs w:val="24"/>
              </w:rPr>
              <w:t>、診所或其他醫療機構，應</w:t>
            </w:r>
            <w:r w:rsidRPr="00C80E22">
              <w:rPr>
                <w:rFonts w:ascii="標楷體" w:eastAsia="標楷體" w:hAnsi="標楷體"/>
                <w:color w:val="000000" w:themeColor="text1"/>
                <w:szCs w:val="24"/>
              </w:rPr>
              <w:t>指定專業人員或</w:t>
            </w:r>
            <w:r w:rsidRPr="00C80E22">
              <w:rPr>
                <w:rFonts w:ascii="標楷體" w:eastAsia="標楷體" w:hAnsi="標楷體" w:hint="eastAsia"/>
                <w:color w:val="000000" w:themeColor="text1"/>
                <w:szCs w:val="24"/>
              </w:rPr>
              <w:t>委由專業機構、團體為前項之</w:t>
            </w:r>
            <w:r w:rsidRPr="00C80E22">
              <w:rPr>
                <w:rFonts w:ascii="標楷體" w:eastAsia="標楷體" w:hAnsi="標楷體"/>
                <w:color w:val="000000" w:themeColor="text1"/>
                <w:szCs w:val="24"/>
              </w:rPr>
              <w:t>說明</w:t>
            </w:r>
            <w:r w:rsidRPr="00C80E22">
              <w:rPr>
                <w:rFonts w:ascii="標楷體" w:eastAsia="標楷體" w:hAnsi="標楷體" w:hint="eastAsia"/>
                <w:color w:val="000000" w:themeColor="text1"/>
                <w:szCs w:val="24"/>
              </w:rPr>
              <w:t>、</w:t>
            </w:r>
            <w:r w:rsidRPr="00C80E22">
              <w:rPr>
                <w:rFonts w:ascii="標楷體" w:eastAsia="標楷體" w:hAnsi="標楷體"/>
                <w:color w:val="000000" w:themeColor="text1"/>
                <w:szCs w:val="24"/>
              </w:rPr>
              <w:t>溝通</w:t>
            </w:r>
            <w:r w:rsidRPr="00C80E22">
              <w:rPr>
                <w:rFonts w:ascii="標楷體" w:eastAsia="標楷體" w:hAnsi="標楷體" w:hint="eastAsia"/>
                <w:color w:val="000000" w:themeColor="text1"/>
                <w:szCs w:val="24"/>
              </w:rPr>
              <w:t>、</w:t>
            </w:r>
            <w:r w:rsidRPr="00C80E22">
              <w:rPr>
                <w:rFonts w:ascii="標楷體" w:eastAsia="標楷體" w:hAnsi="標楷體"/>
                <w:color w:val="000000" w:themeColor="text1"/>
                <w:szCs w:val="24"/>
              </w:rPr>
              <w:t>協助及關懷服務</w:t>
            </w:r>
            <w:r w:rsidRPr="00C80E22">
              <w:rPr>
                <w:rFonts w:ascii="標楷體" w:eastAsia="標楷體" w:hAnsi="標楷體" w:hint="eastAsia"/>
                <w:color w:val="000000" w:themeColor="text1"/>
                <w:szCs w:val="24"/>
              </w:rPr>
              <w:t>。</w:t>
            </w:r>
          </w:p>
          <w:p w14:paraId="10214076" w14:textId="05041A2D"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前二項醫療事故關懷小組人員、專業人員、專業機構或團體之資格條件及其他應遵行之事項，由中央主管機關公告之。</w:t>
            </w:r>
          </w:p>
          <w:p w14:paraId="66B2B7EC" w14:textId="2F4FE3B9"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病人、家屬或其代理人因語言、文化因素或有聽覺、語言功能或其他障礙致溝通困難時，應由受有相關訓練之人員協助說明、溝通及關懷。</w:t>
            </w:r>
          </w:p>
          <w:p w14:paraId="7146B664" w14:textId="5FBF7BC9"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醫療機構於進行第一項及第二項之說明、溝通、協助及關懷服務時，應主動告知病人、家屬或其代理人有關申請爭點整理或評析意見之程序及其他相關資訊。</w:t>
            </w:r>
          </w:p>
          <w:p w14:paraId="40D01C7B" w14:textId="77777777"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中央主管機關應編列預算，辦理強化醫療機構關懷人員說明、溝通及關懷之訓練講習。</w:t>
            </w:r>
          </w:p>
        </w:tc>
        <w:tc>
          <w:tcPr>
            <w:tcW w:w="4676" w:type="dxa"/>
            <w:tcBorders>
              <w:top w:val="single" w:sz="4" w:space="0" w:color="auto"/>
            </w:tcBorders>
          </w:tcPr>
          <w:p w14:paraId="2A254340" w14:textId="270D8746" w:rsidR="00CD6133" w:rsidRPr="00055449" w:rsidRDefault="00CD6133" w:rsidP="00CD6133">
            <w:pPr>
              <w:ind w:left="238" w:hanging="238"/>
              <w:jc w:val="both"/>
              <w:rPr>
                <w:rFonts w:ascii="Times New Roman" w:eastAsia="標楷體" w:hAnsi="Times New Roman"/>
              </w:rPr>
            </w:pPr>
            <w:r w:rsidRPr="00055449">
              <w:rPr>
                <w:rFonts w:ascii="Times New Roman" w:eastAsia="標楷體" w:hAnsi="Times New Roman" w:hint="eastAsia"/>
              </w:rPr>
              <w:t xml:space="preserve">第五條　</w:t>
            </w:r>
            <w:r w:rsidRPr="00356034">
              <w:rPr>
                <w:rFonts w:ascii="Times New Roman" w:eastAsia="標楷體" w:hAnsi="Times New Roman" w:hint="eastAsia"/>
                <w:dstrike/>
                <w:color w:val="FF0000"/>
              </w:rPr>
              <w:t>一百床以上</w:t>
            </w:r>
            <w:r w:rsidRPr="00055449">
              <w:rPr>
                <w:rFonts w:ascii="Times New Roman" w:eastAsia="標楷體" w:hAnsi="Times New Roman" w:hint="eastAsia"/>
              </w:rPr>
              <w:t>醫院應設醫療事故關懷小組，於醫療事故發生後</w:t>
            </w:r>
            <w:r w:rsidR="00BF1F71" w:rsidRPr="00356034">
              <w:rPr>
                <w:rFonts w:ascii="Times New Roman" w:eastAsia="標楷體" w:hAnsi="Times New Roman" w:hint="eastAsia"/>
                <w:b/>
                <w:color w:val="E36C0A" w:themeColor="accent6" w:themeShade="BF"/>
                <w:u w:val="single"/>
              </w:rPr>
              <w:t>二</w:t>
            </w:r>
            <w:r w:rsidRPr="00356034">
              <w:rPr>
                <w:rFonts w:ascii="Times New Roman" w:eastAsia="標楷體" w:hAnsi="Times New Roman" w:hint="eastAsia"/>
                <w:b/>
                <w:color w:val="E36C0A" w:themeColor="accent6" w:themeShade="BF"/>
                <w:u w:val="single"/>
              </w:rPr>
              <w:t>個工作日內</w:t>
            </w:r>
            <w:r w:rsidRPr="00055449">
              <w:rPr>
                <w:rFonts w:ascii="Times New Roman" w:eastAsia="標楷體" w:hAnsi="Times New Roman" w:hint="eastAsia"/>
              </w:rPr>
              <w:t>向病人、家屬或其代理人說明、溝通，並提供協助及關懷服務。</w:t>
            </w:r>
          </w:p>
          <w:p w14:paraId="7291BAD3" w14:textId="05A7F83E" w:rsidR="00CD6133" w:rsidRPr="00055449" w:rsidRDefault="00CD6133" w:rsidP="00CD6133">
            <w:pPr>
              <w:ind w:left="238" w:firstLineChars="202" w:firstLine="485"/>
              <w:jc w:val="both"/>
              <w:rPr>
                <w:rFonts w:ascii="Times New Roman" w:eastAsia="標楷體" w:hAnsi="Times New Roman"/>
              </w:rPr>
            </w:pPr>
            <w:r w:rsidRPr="00356034">
              <w:rPr>
                <w:rFonts w:ascii="Times New Roman" w:eastAsia="標楷體" w:hAnsi="Times New Roman" w:hint="eastAsia"/>
                <w:dstrike/>
                <w:color w:val="FF0000"/>
              </w:rPr>
              <w:t>九十九床以下醫院、</w:t>
            </w:r>
            <w:r w:rsidRPr="00055449">
              <w:rPr>
                <w:rFonts w:ascii="Times New Roman" w:eastAsia="標楷體" w:hAnsi="Times New Roman" w:hint="eastAsia"/>
              </w:rPr>
              <w:t>診所或其他醫療機構，應指定專業人員或委由專業機構</w:t>
            </w:r>
            <w:r w:rsidR="00BF1F71" w:rsidRPr="00C80E22">
              <w:rPr>
                <w:rFonts w:ascii="標楷體" w:eastAsia="標楷體" w:hAnsi="標楷體" w:hint="eastAsia"/>
                <w:color w:val="000000" w:themeColor="text1"/>
                <w:szCs w:val="24"/>
              </w:rPr>
              <w:t>、</w:t>
            </w:r>
            <w:r w:rsidRPr="00055449">
              <w:rPr>
                <w:rFonts w:ascii="Times New Roman" w:eastAsia="標楷體" w:hAnsi="Times New Roman" w:hint="eastAsia"/>
              </w:rPr>
              <w:t>團體為前項之說明、溝通、協助及關懷服務。</w:t>
            </w:r>
          </w:p>
          <w:p w14:paraId="5BB922EB" w14:textId="7BD7F8FF" w:rsidR="00CD6133" w:rsidRPr="00055449" w:rsidRDefault="00CD6133" w:rsidP="00CD6133">
            <w:pPr>
              <w:ind w:left="238" w:firstLineChars="202" w:firstLine="485"/>
              <w:jc w:val="both"/>
              <w:rPr>
                <w:rFonts w:ascii="Times New Roman" w:eastAsia="標楷體" w:hAnsi="Times New Roman"/>
              </w:rPr>
            </w:pPr>
            <w:r w:rsidRPr="00055449">
              <w:rPr>
                <w:rFonts w:ascii="Times New Roman" w:eastAsia="標楷體" w:hAnsi="Times New Roman" w:hint="eastAsia"/>
              </w:rPr>
              <w:t>前二項醫療事故關懷小組</w:t>
            </w:r>
            <w:r w:rsidR="005372B7" w:rsidRPr="00B70616">
              <w:rPr>
                <w:rFonts w:ascii="標楷體" w:eastAsia="標楷體" w:hAnsi="標楷體" w:hint="eastAsia"/>
                <w:b/>
                <w:color w:val="E36C0A" w:themeColor="accent6" w:themeShade="BF"/>
                <w:szCs w:val="24"/>
                <w:u w:val="single"/>
              </w:rPr>
              <w:t>之成</w:t>
            </w:r>
            <w:r w:rsidR="005372B7" w:rsidRPr="00B70616">
              <w:rPr>
                <w:rFonts w:ascii="Times New Roman" w:eastAsia="標楷體" w:hAnsi="Times New Roman" w:hint="eastAsia"/>
              </w:rPr>
              <w:t>員</w:t>
            </w:r>
            <w:r w:rsidR="005372B7" w:rsidRPr="00B70616">
              <w:rPr>
                <w:rFonts w:ascii="標楷體" w:eastAsia="標楷體" w:hAnsi="標楷體" w:hint="eastAsia"/>
                <w:b/>
                <w:color w:val="E36C0A" w:themeColor="accent6" w:themeShade="BF"/>
                <w:szCs w:val="24"/>
                <w:u w:val="single"/>
              </w:rPr>
              <w:t>應包含法律、醫學、心理、社會工作等相關專業人員</w:t>
            </w:r>
            <w:r w:rsidR="005372B7">
              <w:rPr>
                <w:rFonts w:ascii="標楷體" w:eastAsia="標楷體" w:hAnsi="標楷體" w:hint="eastAsia"/>
                <w:b/>
                <w:color w:val="E36C0A" w:themeColor="accent6" w:themeShade="BF"/>
                <w:szCs w:val="24"/>
                <w:u w:val="single"/>
              </w:rPr>
              <w:t>，其</w:t>
            </w:r>
            <w:r w:rsidR="009B005D">
              <w:rPr>
                <w:rFonts w:ascii="標楷體" w:eastAsia="標楷體" w:hAnsi="標楷體" w:hint="eastAsia"/>
                <w:color w:val="000000" w:themeColor="text1"/>
                <w:szCs w:val="24"/>
              </w:rPr>
              <w:t>資格條件及其他應遵行之事項，由中央主管機關公告之</w:t>
            </w:r>
            <w:r w:rsidRPr="00055449">
              <w:rPr>
                <w:rFonts w:ascii="Times New Roman" w:eastAsia="標楷體" w:hAnsi="Times New Roman" w:hint="eastAsia"/>
              </w:rPr>
              <w:t>。</w:t>
            </w:r>
          </w:p>
          <w:p w14:paraId="687D6B5C" w14:textId="77777777" w:rsidR="00CD6133" w:rsidRPr="00055449" w:rsidRDefault="00CD6133" w:rsidP="00CD6133">
            <w:pPr>
              <w:ind w:left="238" w:firstLineChars="202" w:firstLine="485"/>
              <w:jc w:val="both"/>
              <w:rPr>
                <w:rFonts w:ascii="Times New Roman" w:eastAsia="標楷體" w:hAnsi="Times New Roman"/>
              </w:rPr>
            </w:pPr>
            <w:r w:rsidRPr="00055449">
              <w:rPr>
                <w:rFonts w:ascii="Times New Roman" w:eastAsia="標楷體" w:hAnsi="Times New Roman" w:hint="eastAsia"/>
              </w:rPr>
              <w:t>病人、家屬或其代理人因語言、文化因素或有聽覺、語言功能或其他障礙致溝通困難時，應由受有相關訓練之人員協助說明、溝通及關懷。</w:t>
            </w:r>
          </w:p>
          <w:p w14:paraId="22EA49F8" w14:textId="77777777" w:rsidR="005372B7" w:rsidRPr="00B70616" w:rsidRDefault="005372B7" w:rsidP="005372B7">
            <w:pPr>
              <w:ind w:left="238" w:firstLineChars="202" w:firstLine="485"/>
              <w:jc w:val="both"/>
              <w:rPr>
                <w:rFonts w:ascii="Times New Roman" w:eastAsia="標楷體" w:hAnsi="Times New Roman"/>
              </w:rPr>
            </w:pPr>
            <w:r w:rsidRPr="00B70616">
              <w:rPr>
                <w:rFonts w:ascii="Times New Roman" w:eastAsia="標楷體" w:hAnsi="Times New Roman" w:hint="eastAsia"/>
              </w:rPr>
              <w:t>醫療機構於進行第一項及第二項之說明、溝通、協助及關懷服務時，應</w:t>
            </w:r>
            <w:r w:rsidRPr="00B70616">
              <w:rPr>
                <w:rFonts w:ascii="標楷體" w:eastAsia="標楷體" w:hAnsi="標楷體" w:hint="eastAsia"/>
                <w:b/>
                <w:color w:val="E36C0A" w:themeColor="accent6" w:themeShade="BF"/>
                <w:szCs w:val="24"/>
                <w:u w:val="single"/>
              </w:rPr>
              <w:t>將會議紀錄及說明資料留存備查，</w:t>
            </w:r>
            <w:r w:rsidRPr="00B70616">
              <w:rPr>
                <w:rFonts w:ascii="Times New Roman" w:eastAsia="標楷體" w:hAnsi="Times New Roman" w:hint="eastAsia"/>
              </w:rPr>
              <w:t>並主動告知病人、家屬或其代理人</w:t>
            </w:r>
            <w:r w:rsidRPr="00B70616">
              <w:rPr>
                <w:rFonts w:ascii="標楷體" w:eastAsia="標楷體" w:hAnsi="標楷體" w:hint="eastAsia"/>
                <w:b/>
                <w:color w:val="E36C0A" w:themeColor="accent6" w:themeShade="BF"/>
                <w:szCs w:val="24"/>
                <w:u w:val="single"/>
              </w:rPr>
              <w:t>下列事項：</w:t>
            </w:r>
          </w:p>
          <w:p w14:paraId="11247B00" w14:textId="77777777" w:rsidR="005372B7" w:rsidRPr="00B70616" w:rsidRDefault="005372B7" w:rsidP="005372B7">
            <w:pPr>
              <w:pStyle w:val="a7"/>
              <w:numPr>
                <w:ilvl w:val="0"/>
                <w:numId w:val="15"/>
              </w:numPr>
              <w:kinsoku w:val="0"/>
              <w:overflowPunct w:val="0"/>
              <w:autoSpaceDE w:val="0"/>
              <w:ind w:leftChars="0" w:left="742" w:hanging="565"/>
              <w:jc w:val="both"/>
              <w:textAlignment w:val="center"/>
              <w:rPr>
                <w:rFonts w:ascii="標楷體" w:eastAsia="標楷體" w:hAnsi="標楷體"/>
                <w:b/>
                <w:color w:val="E36C0A" w:themeColor="accent6" w:themeShade="BF"/>
                <w:szCs w:val="24"/>
                <w:u w:val="single"/>
              </w:rPr>
            </w:pPr>
            <w:r w:rsidRPr="00B70616">
              <w:rPr>
                <w:rFonts w:ascii="標楷體" w:eastAsia="標楷體" w:hAnsi="標楷體" w:hint="eastAsia"/>
                <w:b/>
                <w:color w:val="E36C0A" w:themeColor="accent6" w:themeShade="BF"/>
                <w:szCs w:val="24"/>
                <w:u w:val="single"/>
              </w:rPr>
              <w:t>有關申請釐清爭點或評析意見之程序。</w:t>
            </w:r>
          </w:p>
          <w:p w14:paraId="438341DF" w14:textId="77777777" w:rsidR="0050573A" w:rsidRPr="00B70616" w:rsidRDefault="0050573A" w:rsidP="0050573A">
            <w:pPr>
              <w:pStyle w:val="a7"/>
              <w:numPr>
                <w:ilvl w:val="0"/>
                <w:numId w:val="15"/>
              </w:numPr>
              <w:kinsoku w:val="0"/>
              <w:overflowPunct w:val="0"/>
              <w:autoSpaceDE w:val="0"/>
              <w:ind w:leftChars="0" w:left="742" w:hanging="565"/>
              <w:jc w:val="both"/>
              <w:textAlignment w:val="center"/>
              <w:rPr>
                <w:rFonts w:ascii="標楷體" w:eastAsia="標楷體" w:hAnsi="標楷體"/>
                <w:b/>
                <w:color w:val="E36C0A" w:themeColor="accent6" w:themeShade="BF"/>
                <w:szCs w:val="24"/>
                <w:u w:val="single"/>
              </w:rPr>
            </w:pPr>
            <w:r w:rsidRPr="00B70616">
              <w:rPr>
                <w:rFonts w:ascii="標楷體" w:eastAsia="標楷體" w:hAnsi="標楷體" w:hint="eastAsia"/>
                <w:b/>
                <w:color w:val="E36C0A" w:themeColor="accent6" w:themeShade="BF"/>
                <w:szCs w:val="24"/>
                <w:u w:val="single"/>
              </w:rPr>
              <w:t>有關第六條病歷申請、第九條調解之程序及相關資訊。</w:t>
            </w:r>
          </w:p>
          <w:p w14:paraId="3F8F628D" w14:textId="6EA50EE9" w:rsidR="005372B7" w:rsidRPr="00B70616" w:rsidRDefault="0050573A" w:rsidP="005372B7">
            <w:pPr>
              <w:pStyle w:val="a7"/>
              <w:numPr>
                <w:ilvl w:val="0"/>
                <w:numId w:val="15"/>
              </w:numPr>
              <w:kinsoku w:val="0"/>
              <w:overflowPunct w:val="0"/>
              <w:autoSpaceDE w:val="0"/>
              <w:ind w:leftChars="0" w:left="742" w:hanging="565"/>
              <w:jc w:val="both"/>
              <w:textAlignment w:val="center"/>
              <w:rPr>
                <w:rFonts w:ascii="標楷體" w:eastAsia="標楷體" w:hAnsi="標楷體"/>
                <w:b/>
                <w:color w:val="E36C0A" w:themeColor="accent6" w:themeShade="BF"/>
                <w:szCs w:val="24"/>
                <w:u w:val="single"/>
              </w:rPr>
            </w:pPr>
            <w:r w:rsidRPr="0050573A">
              <w:rPr>
                <w:rFonts w:ascii="標楷體" w:eastAsia="標楷體" w:hAnsi="標楷體" w:hint="eastAsia"/>
                <w:b/>
                <w:color w:val="E36C0A" w:themeColor="accent6" w:themeShade="BF"/>
                <w:szCs w:val="24"/>
                <w:u w:val="single"/>
              </w:rPr>
              <w:t>如遇符合</w:t>
            </w:r>
            <w:r w:rsidRPr="0050573A">
              <w:rPr>
                <w:rFonts w:ascii="標楷體" w:eastAsia="標楷體" w:hAnsi="標楷體"/>
                <w:b/>
                <w:color w:val="E36C0A" w:themeColor="accent6" w:themeShade="BF"/>
                <w:szCs w:val="24"/>
                <w:u w:val="single"/>
              </w:rPr>
              <w:t>藥害救濟、生產事故救濟、預防接種受害救濟</w:t>
            </w:r>
            <w:r w:rsidRPr="0050573A">
              <w:rPr>
                <w:rFonts w:ascii="標楷體" w:eastAsia="標楷體" w:hAnsi="標楷體" w:hint="eastAsia"/>
                <w:b/>
                <w:color w:val="E36C0A" w:themeColor="accent6" w:themeShade="BF"/>
                <w:szCs w:val="24"/>
                <w:u w:val="single"/>
              </w:rPr>
              <w:t>或</w:t>
            </w:r>
            <w:r w:rsidRPr="0050573A">
              <w:rPr>
                <w:rFonts w:ascii="標楷體" w:eastAsia="標楷體" w:hAnsi="標楷體"/>
                <w:b/>
                <w:color w:val="E36C0A" w:themeColor="accent6" w:themeShade="BF"/>
                <w:szCs w:val="24"/>
                <w:u w:val="single"/>
              </w:rPr>
              <w:t>其他相關社福補助</w:t>
            </w:r>
            <w:r w:rsidRPr="0050573A">
              <w:rPr>
                <w:rFonts w:ascii="標楷體" w:eastAsia="標楷體" w:hAnsi="標楷體" w:hint="eastAsia"/>
                <w:b/>
                <w:color w:val="E36C0A" w:themeColor="accent6" w:themeShade="BF"/>
                <w:szCs w:val="24"/>
                <w:u w:val="single"/>
              </w:rPr>
              <w:t>資格者，應提供其申請資訊並協助之</w:t>
            </w:r>
            <w:r w:rsidRPr="0050573A">
              <w:rPr>
                <w:rFonts w:ascii="標楷體" w:eastAsia="標楷體" w:hAnsi="標楷體"/>
                <w:b/>
                <w:color w:val="E36C0A" w:themeColor="accent6" w:themeShade="BF"/>
                <w:szCs w:val="24"/>
                <w:u w:val="single"/>
              </w:rPr>
              <w:t>。</w:t>
            </w:r>
          </w:p>
          <w:p w14:paraId="604B6C0D" w14:textId="7EC3C82F" w:rsidR="00CD6133" w:rsidRPr="005372B7" w:rsidRDefault="005372B7" w:rsidP="005372B7">
            <w:pPr>
              <w:ind w:left="238" w:firstLineChars="202" w:firstLine="485"/>
              <w:jc w:val="both"/>
              <w:rPr>
                <w:rFonts w:ascii="標楷體" w:eastAsia="標楷體" w:hAnsi="標楷體"/>
                <w:b/>
                <w:color w:val="E36C0A" w:themeColor="accent6" w:themeShade="BF"/>
                <w:szCs w:val="24"/>
                <w:u w:val="single"/>
              </w:rPr>
            </w:pPr>
            <w:r w:rsidRPr="00B70616">
              <w:rPr>
                <w:rFonts w:ascii="標楷體" w:eastAsia="標楷體" w:hAnsi="標楷體" w:hint="eastAsia"/>
                <w:b/>
                <w:color w:val="E36C0A" w:themeColor="accent6" w:themeShade="BF"/>
                <w:szCs w:val="24"/>
                <w:u w:val="single"/>
              </w:rPr>
              <w:t>醫療機構對於醫療事故有關之所屬醫事人員，應提供員工協助方案，並協助其向病人說明、溝通，及保護其在處理醫療事故爭議過程中，不受醫療暴力之威脅或傷害。</w:t>
            </w:r>
          </w:p>
          <w:p w14:paraId="22F407D9" w14:textId="487D240F" w:rsidR="00CD6133" w:rsidRPr="00055449" w:rsidRDefault="00CD6133" w:rsidP="00CD6133">
            <w:pPr>
              <w:ind w:left="238" w:firstLineChars="202" w:firstLine="485"/>
              <w:jc w:val="both"/>
              <w:rPr>
                <w:rFonts w:ascii="Times New Roman" w:eastAsia="標楷體" w:hAnsi="Times New Roman"/>
                <w:szCs w:val="24"/>
              </w:rPr>
            </w:pPr>
            <w:r w:rsidRPr="00055449">
              <w:rPr>
                <w:rFonts w:ascii="Times New Roman" w:eastAsia="標楷體" w:hAnsi="Times New Roman" w:hint="eastAsia"/>
              </w:rPr>
              <w:t>中央主管機關應編列預算，辦理強化醫療機構關懷人員說明、溝通及關懷之訓練講習。</w:t>
            </w:r>
          </w:p>
        </w:tc>
        <w:tc>
          <w:tcPr>
            <w:tcW w:w="4677" w:type="dxa"/>
            <w:tcBorders>
              <w:top w:val="single" w:sz="4" w:space="0" w:color="auto"/>
            </w:tcBorders>
          </w:tcPr>
          <w:p w14:paraId="35231025" w14:textId="5B625D5A" w:rsidR="00812968" w:rsidRPr="00604E17" w:rsidRDefault="0050573A" w:rsidP="00604E17">
            <w:pPr>
              <w:pStyle w:val="a7"/>
              <w:numPr>
                <w:ilvl w:val="0"/>
                <w:numId w:val="28"/>
              </w:numPr>
              <w:tabs>
                <w:tab w:val="left" w:pos="571"/>
              </w:tabs>
              <w:spacing w:line="440" w:lineRule="exact"/>
              <w:ind w:leftChars="0"/>
              <w:rPr>
                <w:rFonts w:ascii="標楷體" w:eastAsia="標楷體" w:hAnsi="標楷體"/>
                <w:color w:val="000000"/>
                <w:szCs w:val="24"/>
              </w:rPr>
            </w:pPr>
            <w:r>
              <w:rPr>
                <w:rFonts w:ascii="Times New Roman" w:eastAsia="標楷體" w:hAnsi="Times New Roman" w:cs="Times New Roman" w:hint="eastAsia"/>
              </w:rPr>
              <w:t>有鑒於「生產事故救濟條例」施行後透過院內關懷小組於兩個工作日內提供即時關懷，明顯有助修復醫病信任關係及減少醫療訴訟之成功經驗，</w:t>
            </w:r>
            <w:r w:rsidRPr="00604E17">
              <w:rPr>
                <w:rFonts w:ascii="標楷體" w:eastAsia="標楷體" w:hAnsi="標楷體" w:hint="eastAsia"/>
                <w:color w:val="000000"/>
                <w:szCs w:val="24"/>
              </w:rPr>
              <w:t>建議本法不應該比104年通過的生產事故救濟條例之院內關懷規定還落後，且「</w:t>
            </w:r>
            <w:r w:rsidRPr="00604E17">
              <w:rPr>
                <w:rFonts w:ascii="標楷體" w:eastAsia="標楷體" w:hAnsi="標楷體" w:hint="eastAsia"/>
                <w:b/>
                <w:color w:val="FF0000"/>
                <w:szCs w:val="24"/>
              </w:rPr>
              <w:t>儘速</w:t>
            </w:r>
            <w:r w:rsidRPr="00604E17">
              <w:rPr>
                <w:rFonts w:ascii="標楷體" w:eastAsia="標楷體" w:hAnsi="標楷體" w:hint="eastAsia"/>
                <w:color w:val="000000"/>
                <w:szCs w:val="24"/>
              </w:rPr>
              <w:t>」用語不夠明確，</w:t>
            </w:r>
            <w:r>
              <w:rPr>
                <w:rFonts w:ascii="Times New Roman" w:eastAsia="標楷體" w:hAnsi="Times New Roman" w:cs="Times New Roman" w:hint="eastAsia"/>
              </w:rPr>
              <w:t>爰參照「生產事故救濟條例」</w:t>
            </w:r>
            <w:r w:rsidR="00812968" w:rsidRPr="00604E17">
              <w:rPr>
                <w:rFonts w:ascii="標楷體" w:eastAsia="標楷體" w:hAnsi="標楷體" w:hint="eastAsia"/>
                <w:color w:val="000000"/>
                <w:szCs w:val="24"/>
              </w:rPr>
              <w:t>第四條規定修正之。</w:t>
            </w:r>
          </w:p>
          <w:p w14:paraId="1D2F1E81" w14:textId="77777777" w:rsidR="00812968" w:rsidRPr="00604E17" w:rsidRDefault="00812968" w:rsidP="00604E17">
            <w:pPr>
              <w:pStyle w:val="a7"/>
              <w:numPr>
                <w:ilvl w:val="0"/>
                <w:numId w:val="28"/>
              </w:numPr>
              <w:tabs>
                <w:tab w:val="left" w:pos="571"/>
              </w:tabs>
              <w:spacing w:line="440" w:lineRule="exact"/>
              <w:ind w:leftChars="0"/>
              <w:rPr>
                <w:rFonts w:ascii="標楷體" w:eastAsia="標楷體" w:hAnsi="標楷體" w:hint="eastAsia"/>
                <w:color w:val="000000"/>
                <w:szCs w:val="24"/>
              </w:rPr>
            </w:pPr>
            <w:r w:rsidRPr="00604E17">
              <w:rPr>
                <w:rFonts w:ascii="標楷體" w:eastAsia="標楷體" w:hAnsi="標楷體" w:hint="eastAsia"/>
                <w:color w:val="000000"/>
                <w:szCs w:val="24"/>
              </w:rPr>
              <w:t>應要求院內關懷要有紀錄備查，且應該主動提供相關救濟與申請病歷資訊。</w:t>
            </w:r>
          </w:p>
          <w:p w14:paraId="0D339EEA" w14:textId="0FF0F754" w:rsidR="00CD6133" w:rsidRPr="00604E17" w:rsidRDefault="00812968" w:rsidP="00604E17">
            <w:pPr>
              <w:pStyle w:val="a7"/>
              <w:numPr>
                <w:ilvl w:val="0"/>
                <w:numId w:val="28"/>
              </w:numPr>
              <w:tabs>
                <w:tab w:val="left" w:pos="571"/>
              </w:tabs>
              <w:spacing w:line="440" w:lineRule="exact"/>
              <w:ind w:leftChars="0"/>
              <w:rPr>
                <w:rFonts w:ascii="標楷體" w:eastAsia="標楷體" w:hAnsi="標楷體"/>
                <w:color w:val="000000"/>
                <w:szCs w:val="24"/>
              </w:rPr>
            </w:pPr>
            <w:r w:rsidRPr="00604E17">
              <w:rPr>
                <w:rFonts w:ascii="標楷體" w:eastAsia="標楷體" w:hAnsi="標楷體" w:hint="eastAsia"/>
                <w:color w:val="000000"/>
                <w:szCs w:val="24"/>
              </w:rPr>
              <w:t>院內關懷應該是雙向關懷，醫院對於院內醫護人員也應予以提供員工協助方案(</w:t>
            </w:r>
            <w:r w:rsidRPr="00604E17">
              <w:rPr>
                <w:rFonts w:ascii="標楷體" w:eastAsia="標楷體" w:hAnsi="標楷體"/>
                <w:color w:val="000000"/>
                <w:szCs w:val="24"/>
              </w:rPr>
              <w:t>Employee Assistance Program，EAP</w:t>
            </w:r>
            <w:r w:rsidRPr="00604E17">
              <w:rPr>
                <w:rFonts w:ascii="標楷體" w:eastAsia="標楷體" w:hAnsi="標楷體" w:hint="eastAsia"/>
                <w:color w:val="000000"/>
                <w:szCs w:val="24"/>
              </w:rPr>
              <w:t>)。</w:t>
            </w:r>
          </w:p>
        </w:tc>
      </w:tr>
      <w:tr w:rsidR="00CD6133" w:rsidRPr="00076962" w14:paraId="06225C44" w14:textId="40131295" w:rsidTr="00CD6133">
        <w:tc>
          <w:tcPr>
            <w:tcW w:w="4676" w:type="dxa"/>
          </w:tcPr>
          <w:p w14:paraId="2E47EAB9" w14:textId="09621D5A"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第六條　醫療爭議發生時，醫療機構應依醫療法第七十一條規定提供病歷複製本。</w:t>
            </w:r>
          </w:p>
          <w:p w14:paraId="3D15379F" w14:textId="132F0CB1"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前項資料應於申請之翌日起三個工作日內提供；資料繁多時，至遲應於七個工作日內提供。</w:t>
            </w:r>
          </w:p>
        </w:tc>
        <w:tc>
          <w:tcPr>
            <w:tcW w:w="4676" w:type="dxa"/>
          </w:tcPr>
          <w:p w14:paraId="0A1B687B" w14:textId="1233698D" w:rsidR="002C0798" w:rsidRPr="00C80E22" w:rsidRDefault="002C0798" w:rsidP="002C0798">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第六條　醫療爭議發生時，醫療機構</w:t>
            </w:r>
            <w:r w:rsidRPr="00A13509">
              <w:rPr>
                <w:rFonts w:ascii="標楷體" w:eastAsia="標楷體" w:hAnsi="標楷體" w:hint="eastAsia"/>
                <w:b/>
                <w:color w:val="E36C0A" w:themeColor="accent6" w:themeShade="BF"/>
                <w:szCs w:val="24"/>
                <w:u w:val="single"/>
              </w:rPr>
              <w:t>於病人、家屬或其代理人要求時，</w:t>
            </w:r>
            <w:r w:rsidRPr="00C80E22">
              <w:rPr>
                <w:rFonts w:ascii="標楷體" w:eastAsia="標楷體" w:hAnsi="標楷體" w:hint="eastAsia"/>
                <w:color w:val="000000" w:themeColor="text1"/>
                <w:szCs w:val="24"/>
              </w:rPr>
              <w:t>應</w:t>
            </w:r>
            <w:r w:rsidRPr="00356034">
              <w:rPr>
                <w:rFonts w:ascii="標楷體" w:eastAsia="標楷體" w:hAnsi="標楷體" w:hint="eastAsia"/>
                <w:dstrike/>
                <w:color w:val="FF0000"/>
                <w:szCs w:val="24"/>
              </w:rPr>
              <w:t>依醫療法第七十一條規定</w:t>
            </w:r>
            <w:r w:rsidRPr="00C80E22">
              <w:rPr>
                <w:rFonts w:ascii="標楷體" w:eastAsia="標楷體" w:hAnsi="標楷體" w:hint="eastAsia"/>
                <w:color w:val="000000" w:themeColor="text1"/>
                <w:szCs w:val="24"/>
              </w:rPr>
              <w:t>提供病歷</w:t>
            </w:r>
            <w:r w:rsidRPr="00A13509">
              <w:rPr>
                <w:rFonts w:ascii="標楷體" w:eastAsia="標楷體" w:hAnsi="標楷體" w:hint="eastAsia"/>
                <w:b/>
                <w:color w:val="E36C0A" w:themeColor="accent6" w:themeShade="BF"/>
                <w:szCs w:val="24"/>
                <w:u w:val="single"/>
              </w:rPr>
              <w:t>、健保醫令清單、自費同意書等相關資料</w:t>
            </w:r>
            <w:r w:rsidRPr="00C80E22">
              <w:rPr>
                <w:rFonts w:ascii="標楷體" w:eastAsia="標楷體" w:hAnsi="標楷體" w:hint="eastAsia"/>
                <w:color w:val="000000" w:themeColor="text1"/>
                <w:szCs w:val="24"/>
              </w:rPr>
              <w:t>複製本。</w:t>
            </w:r>
          </w:p>
          <w:p w14:paraId="13001B42" w14:textId="5883EE6E" w:rsidR="00CD6133" w:rsidRPr="00055449" w:rsidRDefault="002C0798" w:rsidP="002C0798">
            <w:pPr>
              <w:ind w:left="238" w:firstLineChars="202" w:firstLine="485"/>
              <w:jc w:val="both"/>
              <w:rPr>
                <w:rFonts w:ascii="Times New Roman" w:eastAsia="標楷體" w:hAnsi="Times New Roman"/>
                <w:szCs w:val="24"/>
              </w:rPr>
            </w:pPr>
            <w:r w:rsidRPr="00C80E22">
              <w:rPr>
                <w:rFonts w:ascii="標楷體" w:eastAsia="標楷體" w:hAnsi="標楷體" w:hint="eastAsia"/>
                <w:color w:val="000000" w:themeColor="text1"/>
                <w:szCs w:val="24"/>
              </w:rPr>
              <w:t>前項資料應於申請之翌日起三個工作日內提供；資料繁多時，至遲應於七個工作日內提供。</w:t>
            </w:r>
          </w:p>
        </w:tc>
        <w:tc>
          <w:tcPr>
            <w:tcW w:w="4677" w:type="dxa"/>
          </w:tcPr>
          <w:p w14:paraId="38509F3D" w14:textId="77777777" w:rsidR="001742A3" w:rsidRPr="001742A3" w:rsidRDefault="00812968" w:rsidP="001742A3">
            <w:pPr>
              <w:pStyle w:val="a7"/>
              <w:numPr>
                <w:ilvl w:val="0"/>
                <w:numId w:val="30"/>
              </w:numPr>
              <w:tabs>
                <w:tab w:val="left" w:pos="413"/>
              </w:tabs>
              <w:spacing w:line="440" w:lineRule="exact"/>
              <w:ind w:leftChars="0"/>
              <w:rPr>
                <w:rFonts w:ascii="標楷體" w:eastAsia="標楷體" w:hAnsi="標楷體" w:hint="eastAsia"/>
                <w:szCs w:val="24"/>
              </w:rPr>
            </w:pPr>
            <w:r w:rsidRPr="00604E17">
              <w:rPr>
                <w:rFonts w:ascii="標楷體" w:eastAsia="標楷體" w:hAnsi="標楷體" w:hint="eastAsia"/>
                <w:color w:val="000000"/>
                <w:szCs w:val="24"/>
              </w:rPr>
              <w:t>本法不應該比104年通過的生產事故救濟條例還落後</w:t>
            </w:r>
            <w:r w:rsidR="001742A3">
              <w:rPr>
                <w:rFonts w:ascii="標楷體" w:eastAsia="標楷體" w:hAnsi="標楷體" w:hint="eastAsia"/>
                <w:color w:val="000000"/>
                <w:szCs w:val="24"/>
              </w:rPr>
              <w:t>，爰</w:t>
            </w:r>
            <w:r w:rsidRPr="00604E17">
              <w:rPr>
                <w:rFonts w:ascii="標楷體" w:eastAsia="標楷體" w:hAnsi="標楷體" w:hint="eastAsia"/>
                <w:color w:val="000000"/>
                <w:szCs w:val="24"/>
              </w:rPr>
              <w:t>建議應比照生產事故救濟條例規定提供</w:t>
            </w:r>
            <w:r w:rsidRPr="00604E17">
              <w:rPr>
                <w:rFonts w:ascii="標楷體" w:eastAsia="標楷體" w:hAnsi="標楷體" w:hint="eastAsia"/>
                <w:color w:val="FF0000"/>
                <w:szCs w:val="24"/>
                <w:u w:val="single"/>
              </w:rPr>
              <w:t>健保醫令清單</w:t>
            </w:r>
            <w:r w:rsidRPr="00604E17">
              <w:rPr>
                <w:rFonts w:ascii="標楷體" w:eastAsia="標楷體" w:hAnsi="標楷體" w:hint="eastAsia"/>
                <w:color w:val="000000"/>
                <w:szCs w:val="24"/>
              </w:rPr>
              <w:t>。</w:t>
            </w:r>
          </w:p>
          <w:p w14:paraId="6D4BADE4" w14:textId="07F9C9FF" w:rsidR="00CD6133" w:rsidRPr="00604E17" w:rsidRDefault="00812968" w:rsidP="001742A3">
            <w:pPr>
              <w:pStyle w:val="a7"/>
              <w:numPr>
                <w:ilvl w:val="0"/>
                <w:numId w:val="30"/>
              </w:numPr>
              <w:tabs>
                <w:tab w:val="left" w:pos="413"/>
              </w:tabs>
              <w:spacing w:line="440" w:lineRule="exact"/>
              <w:ind w:leftChars="0"/>
              <w:rPr>
                <w:rFonts w:ascii="標楷體" w:eastAsia="標楷體" w:hAnsi="標楷體"/>
                <w:szCs w:val="24"/>
              </w:rPr>
            </w:pPr>
            <w:r w:rsidRPr="00604E17">
              <w:rPr>
                <w:rFonts w:ascii="標楷體" w:eastAsia="標楷體" w:hAnsi="標楷體" w:hint="eastAsia"/>
                <w:color w:val="000000"/>
                <w:szCs w:val="24"/>
              </w:rPr>
              <w:t>另因衛福部衛部醫字第1061667302號函釋非健保之自費同意書不屬於病歷一部份，爰建議增列</w:t>
            </w:r>
            <w:r w:rsidRPr="00604E17">
              <w:rPr>
                <w:rFonts w:ascii="標楷體" w:eastAsia="標楷體" w:hAnsi="標楷體" w:hint="eastAsia"/>
                <w:color w:val="FF0000"/>
                <w:szCs w:val="24"/>
                <w:u w:val="single"/>
              </w:rPr>
              <w:t>自費同意書。</w:t>
            </w:r>
          </w:p>
        </w:tc>
      </w:tr>
      <w:tr w:rsidR="00CD6133" w:rsidRPr="00076962" w14:paraId="4A5C26CB" w14:textId="2C03C09E" w:rsidTr="00CD6133">
        <w:tc>
          <w:tcPr>
            <w:tcW w:w="4676" w:type="dxa"/>
          </w:tcPr>
          <w:p w14:paraId="0AB8A793" w14:textId="43EA0780"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第九條　直轄市、縣（市）主管機關應設醫療爭議調解會（以下簡稱調解會），辦理醫療爭議之調解。</w:t>
            </w:r>
          </w:p>
          <w:p w14:paraId="69015A30" w14:textId="77777777"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當事人申請調解，得向其住（居）所、醫療機構所在地或經雙方當事人合意之直轄市、縣（市）調解會為之。</w:t>
            </w:r>
          </w:p>
          <w:p w14:paraId="73EDCE95" w14:textId="77777777"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調解會之經費，由</w:t>
            </w:r>
            <w:r w:rsidRPr="00C80E22">
              <w:rPr>
                <w:rFonts w:ascii="Times New Roman" w:eastAsia="標楷體" w:hAnsi="Times New Roman" w:hint="eastAsia"/>
                <w:color w:val="000000" w:themeColor="text1"/>
              </w:rPr>
              <w:t>直轄市、縣（市）主管機關編入預算</w:t>
            </w:r>
            <w:r w:rsidRPr="00C80E22">
              <w:rPr>
                <w:rFonts w:ascii="標楷體" w:eastAsia="標楷體" w:hAnsi="標楷體" w:hint="eastAsia"/>
                <w:color w:val="000000" w:themeColor="text1"/>
                <w:szCs w:val="24"/>
              </w:rPr>
              <w:t>。</w:t>
            </w:r>
          </w:p>
        </w:tc>
        <w:tc>
          <w:tcPr>
            <w:tcW w:w="4676" w:type="dxa"/>
            <w:tcBorders>
              <w:top w:val="single" w:sz="4" w:space="0" w:color="auto"/>
            </w:tcBorders>
          </w:tcPr>
          <w:p w14:paraId="566394D3" w14:textId="77777777" w:rsidR="00CD6133" w:rsidRPr="00055449" w:rsidRDefault="00CD6133" w:rsidP="00CD6133">
            <w:pPr>
              <w:ind w:left="238" w:hanging="238"/>
              <w:jc w:val="both"/>
              <w:rPr>
                <w:rFonts w:ascii="Times New Roman" w:eastAsia="標楷體" w:hAnsi="Times New Roman"/>
              </w:rPr>
            </w:pPr>
            <w:r w:rsidRPr="00055449">
              <w:rPr>
                <w:rFonts w:ascii="Times New Roman" w:eastAsia="標楷體" w:hAnsi="Times New Roman" w:hint="eastAsia"/>
              </w:rPr>
              <w:t>第九條　直轄市、縣（市）主管機關應設醫療爭議調解會（以下簡稱調解會），辦理醫療事故爭議之調解。</w:t>
            </w:r>
          </w:p>
          <w:p w14:paraId="45515930" w14:textId="77777777" w:rsidR="00CD6133" w:rsidRPr="00055449" w:rsidRDefault="00CD6133" w:rsidP="00CD6133">
            <w:pPr>
              <w:ind w:left="238" w:firstLineChars="202" w:firstLine="485"/>
              <w:jc w:val="both"/>
              <w:rPr>
                <w:rFonts w:ascii="Times New Roman" w:eastAsia="標楷體" w:hAnsi="Times New Roman"/>
              </w:rPr>
            </w:pPr>
            <w:r w:rsidRPr="00055449">
              <w:rPr>
                <w:rFonts w:ascii="Times New Roman" w:eastAsia="標楷體" w:hAnsi="Times New Roman" w:hint="eastAsia"/>
              </w:rPr>
              <w:t>當事人申請調解，得向其住（居）所、醫療機構所在地或經雙方當事人合意之直轄市、縣（市）調解會為之。</w:t>
            </w:r>
          </w:p>
          <w:p w14:paraId="2515A4B3" w14:textId="7C9CA516" w:rsidR="00CD6133" w:rsidRPr="00055449" w:rsidRDefault="00CD6133" w:rsidP="00CD6133">
            <w:pPr>
              <w:ind w:left="238" w:firstLineChars="202" w:firstLine="485"/>
              <w:jc w:val="both"/>
              <w:rPr>
                <w:rFonts w:ascii="Times New Roman" w:eastAsia="標楷體" w:hAnsi="Times New Roman"/>
                <w:szCs w:val="24"/>
              </w:rPr>
            </w:pPr>
            <w:r w:rsidRPr="00055449">
              <w:rPr>
                <w:rFonts w:ascii="Times New Roman" w:eastAsia="標楷體" w:hAnsi="Times New Roman" w:hint="eastAsia"/>
              </w:rPr>
              <w:t>調解會之經費，由</w:t>
            </w:r>
            <w:r w:rsidRPr="00356034">
              <w:rPr>
                <w:rFonts w:ascii="Times New Roman" w:eastAsia="標楷體" w:hAnsi="Times New Roman" w:hint="eastAsia"/>
                <w:b/>
                <w:color w:val="E36C0A" w:themeColor="accent6" w:themeShade="BF"/>
                <w:u w:val="single"/>
              </w:rPr>
              <w:t>中央主管機關依各</w:t>
            </w:r>
            <w:r w:rsidRPr="00055449">
              <w:rPr>
                <w:rFonts w:ascii="Times New Roman" w:eastAsia="標楷體" w:hAnsi="Times New Roman" w:hint="eastAsia"/>
              </w:rPr>
              <w:t>直轄市、縣（市）</w:t>
            </w:r>
            <w:r w:rsidRPr="00356034">
              <w:rPr>
                <w:rFonts w:ascii="Times New Roman" w:eastAsia="標楷體" w:hAnsi="Times New Roman" w:hint="eastAsia"/>
                <w:b/>
                <w:color w:val="E36C0A" w:themeColor="accent6" w:themeShade="BF"/>
                <w:u w:val="single"/>
              </w:rPr>
              <w:t>調解會之案件數補助</w:t>
            </w:r>
            <w:r w:rsidR="002C0798" w:rsidRPr="00356034">
              <w:rPr>
                <w:rFonts w:ascii="Times New Roman" w:eastAsia="標楷體" w:hAnsi="Times New Roman" w:hint="eastAsia"/>
                <w:b/>
                <w:color w:val="E36C0A" w:themeColor="accent6" w:themeShade="BF"/>
                <w:u w:val="single"/>
              </w:rPr>
              <w:t>之</w:t>
            </w:r>
            <w:r w:rsidRPr="00055449">
              <w:rPr>
                <w:rFonts w:ascii="Times New Roman" w:eastAsia="標楷體" w:hAnsi="Times New Roman" w:hint="eastAsia"/>
              </w:rPr>
              <w:t>。</w:t>
            </w:r>
          </w:p>
        </w:tc>
        <w:tc>
          <w:tcPr>
            <w:tcW w:w="4677" w:type="dxa"/>
            <w:tcBorders>
              <w:top w:val="single" w:sz="4" w:space="0" w:color="auto"/>
            </w:tcBorders>
          </w:tcPr>
          <w:p w14:paraId="589DD090" w14:textId="51C4790A" w:rsidR="00CD6133" w:rsidRPr="00DA2803" w:rsidRDefault="00812968" w:rsidP="00604E17">
            <w:pPr>
              <w:tabs>
                <w:tab w:val="left" w:pos="413"/>
              </w:tabs>
              <w:ind w:leftChars="1" w:left="2" w:firstLine="2"/>
              <w:rPr>
                <w:rFonts w:ascii="標楷體" w:eastAsia="標楷體" w:hAnsi="標楷體"/>
                <w:szCs w:val="24"/>
              </w:rPr>
            </w:pPr>
            <w:r w:rsidRPr="00DA2803">
              <w:rPr>
                <w:rFonts w:ascii="標楷體" w:eastAsia="標楷體" w:hAnsi="標楷體" w:hint="eastAsia"/>
                <w:color w:val="000000"/>
                <w:szCs w:val="24"/>
              </w:rPr>
              <w:t>由於當事人得選擇跨區縣市之調解會，形成績優的縣市調解會將吸引較多案件前往求助。爰建議參考多元雙向試辦計畫之規定，依據案件數由中央補助調解費用，而非由縣市自行負擔，以免變相懲罰辦理調解成效績優、醫病信任而有較多案件前往求助的縣市。</w:t>
            </w:r>
          </w:p>
        </w:tc>
      </w:tr>
      <w:tr w:rsidR="00CD6133" w:rsidRPr="00076962" w14:paraId="2B5E1A66" w14:textId="5109F201" w:rsidTr="00CD6133">
        <w:tc>
          <w:tcPr>
            <w:tcW w:w="4676" w:type="dxa"/>
          </w:tcPr>
          <w:p w14:paraId="5F36F073" w14:textId="380B3770"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第十一條　醫療爭議之調解，應於受理日起三個月內完成；必要時，得延長三個月，並以一次為限。但經當事人合意者，得再延長一次。</w:t>
            </w:r>
          </w:p>
          <w:p w14:paraId="789FD8C3" w14:textId="44F403A0"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未於前項期間內完成調解者，視為調解不成立。</w:t>
            </w:r>
          </w:p>
          <w:p w14:paraId="59B35E44" w14:textId="4B3E51E7"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前條第一項調解委員之資格條件與第一項調解會運作、調解程序及其他相關事項之辦法，由中央主管機關定之。</w:t>
            </w:r>
          </w:p>
        </w:tc>
        <w:tc>
          <w:tcPr>
            <w:tcW w:w="4676" w:type="dxa"/>
          </w:tcPr>
          <w:p w14:paraId="6B69CBC8" w14:textId="77777777" w:rsidR="00CD6133" w:rsidRPr="00055449" w:rsidRDefault="00CD6133" w:rsidP="00CD6133">
            <w:pPr>
              <w:ind w:left="238" w:hanging="238"/>
              <w:jc w:val="both"/>
              <w:rPr>
                <w:rFonts w:ascii="Times New Roman" w:eastAsia="標楷體" w:hAnsi="Times New Roman"/>
              </w:rPr>
            </w:pPr>
            <w:r w:rsidRPr="00055449">
              <w:rPr>
                <w:rFonts w:ascii="Times New Roman" w:eastAsia="標楷體" w:hAnsi="Times New Roman" w:hint="eastAsia"/>
              </w:rPr>
              <w:t>第十一條　醫療爭議之調解，應於受理日起</w:t>
            </w:r>
            <w:r w:rsidRPr="00356034">
              <w:rPr>
                <w:rFonts w:ascii="Times New Roman" w:eastAsia="標楷體" w:hAnsi="Times New Roman" w:hint="eastAsia"/>
                <w:b/>
                <w:color w:val="E36C0A" w:themeColor="accent6" w:themeShade="BF"/>
                <w:u w:val="single"/>
              </w:rPr>
              <w:t>四十五日內召開第一次調解會議，並</w:t>
            </w:r>
            <w:r w:rsidRPr="00055449">
              <w:rPr>
                <w:rFonts w:ascii="Times New Roman" w:eastAsia="標楷體" w:hAnsi="Times New Roman" w:hint="eastAsia"/>
              </w:rPr>
              <w:t>於三個月內完成；必要時得延長三個月，並以一次為限。但經當事人合意者，得再延長一次。</w:t>
            </w:r>
          </w:p>
          <w:p w14:paraId="54BB9B29" w14:textId="77777777" w:rsidR="00CD6133" w:rsidRPr="00055449" w:rsidRDefault="00CD6133" w:rsidP="00CD6133">
            <w:pPr>
              <w:ind w:left="238" w:firstLineChars="202" w:firstLine="485"/>
              <w:jc w:val="both"/>
              <w:rPr>
                <w:rFonts w:ascii="Times New Roman" w:eastAsia="標楷體" w:hAnsi="Times New Roman"/>
              </w:rPr>
            </w:pPr>
            <w:r w:rsidRPr="00055449">
              <w:rPr>
                <w:rFonts w:ascii="Times New Roman" w:eastAsia="標楷體" w:hAnsi="Times New Roman" w:hint="eastAsia"/>
              </w:rPr>
              <w:t>未於前項期間內完成調解者，視為調解不成立。</w:t>
            </w:r>
          </w:p>
          <w:p w14:paraId="5D5BF1F5" w14:textId="3C3C5620" w:rsidR="00CD6133" w:rsidRPr="00055449" w:rsidRDefault="00CD6133" w:rsidP="00CD6133">
            <w:pPr>
              <w:ind w:left="238" w:firstLineChars="202" w:firstLine="485"/>
              <w:jc w:val="both"/>
              <w:rPr>
                <w:rFonts w:ascii="Times New Roman" w:eastAsia="標楷體" w:hAnsi="Times New Roman"/>
                <w:szCs w:val="24"/>
              </w:rPr>
            </w:pPr>
            <w:r w:rsidRPr="00055449">
              <w:rPr>
                <w:rFonts w:ascii="Times New Roman" w:eastAsia="標楷體" w:hAnsi="Times New Roman" w:hint="eastAsia"/>
              </w:rPr>
              <w:t>前條第一項調解委員之資格條件與第一項調解會運作、調解程序及其他相關事項之辦法，由中央主管機關定之。</w:t>
            </w:r>
          </w:p>
        </w:tc>
        <w:tc>
          <w:tcPr>
            <w:tcW w:w="4677" w:type="dxa"/>
          </w:tcPr>
          <w:p w14:paraId="5971EDD2" w14:textId="5083385A" w:rsidR="004B6808" w:rsidRPr="00DA2803" w:rsidRDefault="004B6808" w:rsidP="00604E17">
            <w:pPr>
              <w:tabs>
                <w:tab w:val="left" w:pos="413"/>
              </w:tabs>
              <w:spacing w:beforeLines="10" w:before="36" w:afterLines="10" w:after="36" w:line="0" w:lineRule="atLeast"/>
              <w:ind w:leftChars="1" w:left="2" w:firstLine="2"/>
              <w:rPr>
                <w:rFonts w:ascii="標楷體" w:eastAsia="標楷體" w:hAnsi="標楷體"/>
                <w:color w:val="000000"/>
                <w:szCs w:val="24"/>
              </w:rPr>
            </w:pPr>
            <w:r w:rsidRPr="00DA2803">
              <w:rPr>
                <w:rFonts w:ascii="標楷體" w:eastAsia="標楷體" w:hAnsi="標楷體" w:hint="eastAsia"/>
                <w:color w:val="000000"/>
                <w:szCs w:val="24"/>
              </w:rPr>
              <w:t>建議比照【多元雙向試辦計畫】規定，增訂四十五日內召開第一次調解會議，以增進病家對於調解時程及效率之信任。</w:t>
            </w:r>
          </w:p>
          <w:p w14:paraId="5BA4038A" w14:textId="5F479D7F" w:rsidR="00CD6133" w:rsidRPr="00DA2803" w:rsidRDefault="00CD6133" w:rsidP="00DA2803">
            <w:pPr>
              <w:tabs>
                <w:tab w:val="left" w:pos="413"/>
              </w:tabs>
              <w:ind w:leftChars="1" w:left="2" w:firstLineChars="177" w:firstLine="425"/>
              <w:rPr>
                <w:rFonts w:ascii="標楷體" w:eastAsia="標楷體" w:hAnsi="標楷體"/>
                <w:szCs w:val="24"/>
              </w:rPr>
            </w:pPr>
          </w:p>
        </w:tc>
      </w:tr>
      <w:tr w:rsidR="00CD6133" w:rsidRPr="00076962" w14:paraId="3BAE9047" w14:textId="0A6C0564" w:rsidTr="00CD6133">
        <w:tc>
          <w:tcPr>
            <w:tcW w:w="4676" w:type="dxa"/>
          </w:tcPr>
          <w:p w14:paraId="79C3E3AC" w14:textId="2012E77C"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第十四條　醫療爭議調解申請書，應載明下列事項：</w:t>
            </w:r>
          </w:p>
          <w:p w14:paraId="5A861D30" w14:textId="77777777" w:rsidR="00CD6133" w:rsidRPr="00C80E22" w:rsidRDefault="00CD6133" w:rsidP="00CD6133">
            <w:pPr>
              <w:pStyle w:val="a7"/>
              <w:numPr>
                <w:ilvl w:val="0"/>
                <w:numId w:val="5"/>
              </w:numPr>
              <w:kinsoku w:val="0"/>
              <w:overflowPunct w:val="0"/>
              <w:autoSpaceDE w:val="0"/>
              <w:ind w:leftChars="98" w:left="725" w:hangingChars="204" w:hanging="490"/>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申請人及相對人之姓名、出生年月日、身分證明文件字號、住所或居所；為醫療機構者，其名稱、負責人及機構所在地；申請人非病人本人者，其與病人之關係。</w:t>
            </w:r>
          </w:p>
          <w:p w14:paraId="78CC70D5" w14:textId="77777777" w:rsidR="00CD6133" w:rsidRPr="00C80E22" w:rsidRDefault="00CD6133" w:rsidP="00CD6133">
            <w:pPr>
              <w:pStyle w:val="a7"/>
              <w:numPr>
                <w:ilvl w:val="0"/>
                <w:numId w:val="5"/>
              </w:numPr>
              <w:kinsoku w:val="0"/>
              <w:overflowPunct w:val="0"/>
              <w:autoSpaceDE w:val="0"/>
              <w:ind w:leftChars="98" w:left="725" w:hangingChars="204" w:hanging="490"/>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有法定代理人或代理人者，其姓名、身分證明文件字號、住所或居所。</w:t>
            </w:r>
          </w:p>
          <w:p w14:paraId="3E9E30BB" w14:textId="77777777" w:rsidR="00CD6133" w:rsidRPr="00C80E22" w:rsidRDefault="00CD6133" w:rsidP="00CD6133">
            <w:pPr>
              <w:pStyle w:val="a7"/>
              <w:numPr>
                <w:ilvl w:val="0"/>
                <w:numId w:val="5"/>
              </w:numPr>
              <w:kinsoku w:val="0"/>
              <w:overflowPunct w:val="0"/>
              <w:autoSpaceDE w:val="0"/>
              <w:ind w:leftChars="98" w:left="725" w:hangingChars="204" w:hanging="490"/>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請求調解事項。</w:t>
            </w:r>
          </w:p>
          <w:p w14:paraId="5A462FCC" w14:textId="65B7289E" w:rsidR="00CD6133" w:rsidRPr="00C80E22" w:rsidRDefault="00CD6133" w:rsidP="00CD6133">
            <w:pPr>
              <w:pStyle w:val="a7"/>
              <w:numPr>
                <w:ilvl w:val="0"/>
                <w:numId w:val="5"/>
              </w:numPr>
              <w:kinsoku w:val="0"/>
              <w:overflowPunct w:val="0"/>
              <w:autoSpaceDE w:val="0"/>
              <w:ind w:leftChars="98" w:left="725" w:hangingChars="204" w:hanging="490"/>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醫療爭議事實及相關資料。</w:t>
            </w:r>
          </w:p>
        </w:tc>
        <w:tc>
          <w:tcPr>
            <w:tcW w:w="4676" w:type="dxa"/>
          </w:tcPr>
          <w:p w14:paraId="43127061" w14:textId="77777777" w:rsidR="00356034" w:rsidRDefault="00525619" w:rsidP="00356034">
            <w:pPr>
              <w:ind w:left="238" w:hanging="238"/>
              <w:jc w:val="both"/>
              <w:rPr>
                <w:rFonts w:ascii="Times New Roman" w:eastAsia="標楷體" w:hAnsi="Times New Roman" w:hint="eastAsia"/>
              </w:rPr>
            </w:pPr>
            <w:r w:rsidRPr="00F06639">
              <w:rPr>
                <w:rFonts w:ascii="Times New Roman" w:eastAsia="標楷體" w:hAnsi="Times New Roman" w:hint="eastAsia"/>
              </w:rPr>
              <w:t>第十四條　醫療</w:t>
            </w:r>
            <w:r w:rsidRPr="00F06639">
              <w:rPr>
                <w:rFonts w:ascii="標楷體" w:eastAsia="標楷體" w:hAnsi="標楷體" w:hint="eastAsia"/>
                <w:b/>
                <w:color w:val="E36C0A" w:themeColor="accent6" w:themeShade="BF"/>
                <w:szCs w:val="24"/>
                <w:u w:val="single"/>
              </w:rPr>
              <w:t>事故</w:t>
            </w:r>
            <w:r w:rsidRPr="00F06639">
              <w:rPr>
                <w:rFonts w:ascii="Times New Roman" w:eastAsia="標楷體" w:hAnsi="Times New Roman" w:hint="eastAsia"/>
              </w:rPr>
              <w:t>爭議調解申請書，應載明事項</w:t>
            </w:r>
            <w:r w:rsidRPr="00F06639">
              <w:rPr>
                <w:rFonts w:ascii="標楷體" w:eastAsia="標楷體" w:hAnsi="標楷體" w:hint="eastAsia"/>
                <w:b/>
                <w:color w:val="E36C0A" w:themeColor="accent6" w:themeShade="BF"/>
                <w:szCs w:val="24"/>
                <w:u w:val="single"/>
              </w:rPr>
              <w:t>、表單格式及其他應注意事項，由中央主管機關定之</w:t>
            </w:r>
            <w:r w:rsidRPr="00F06639">
              <w:rPr>
                <w:rFonts w:ascii="Times New Roman" w:eastAsia="標楷體" w:hAnsi="Times New Roman" w:hint="eastAsia"/>
              </w:rPr>
              <w:t>。</w:t>
            </w:r>
          </w:p>
          <w:p w14:paraId="33360D72" w14:textId="356E1494" w:rsidR="00CD6133" w:rsidRPr="00356034" w:rsidRDefault="00525619" w:rsidP="00356034">
            <w:pPr>
              <w:ind w:left="238" w:firstLine="473"/>
              <w:jc w:val="both"/>
              <w:rPr>
                <w:rFonts w:ascii="Times New Roman" w:eastAsia="標楷體" w:hAnsi="Times New Roman"/>
              </w:rPr>
            </w:pPr>
            <w:r w:rsidRPr="00356034">
              <w:rPr>
                <w:rFonts w:ascii="標楷體" w:eastAsia="標楷體" w:hAnsi="標楷體" w:hint="eastAsia"/>
                <w:b/>
                <w:color w:val="E36C0A" w:themeColor="accent6" w:themeShade="BF"/>
                <w:szCs w:val="24"/>
                <w:u w:val="single"/>
              </w:rPr>
              <w:t>病人、家屬或其代理人填寫前項申請書有困難時，調解會指派受有相關訓練之人員說明或協助填寫。</w:t>
            </w:r>
          </w:p>
        </w:tc>
        <w:tc>
          <w:tcPr>
            <w:tcW w:w="4677" w:type="dxa"/>
          </w:tcPr>
          <w:p w14:paraId="2E8F38D2" w14:textId="039D9468" w:rsidR="004B6808" w:rsidRPr="00604E17" w:rsidRDefault="00630701" w:rsidP="00604E17">
            <w:pPr>
              <w:pStyle w:val="a7"/>
              <w:numPr>
                <w:ilvl w:val="0"/>
                <w:numId w:val="31"/>
              </w:numPr>
              <w:tabs>
                <w:tab w:val="left" w:pos="413"/>
              </w:tabs>
              <w:spacing w:line="440" w:lineRule="exact"/>
              <w:ind w:leftChars="0" w:left="429" w:hanging="429"/>
              <w:rPr>
                <w:rFonts w:ascii="標楷體" w:eastAsia="標楷體" w:hAnsi="標楷體" w:hint="eastAsia"/>
                <w:color w:val="000000"/>
                <w:szCs w:val="24"/>
              </w:rPr>
            </w:pPr>
            <w:r w:rsidRPr="00604E17">
              <w:rPr>
                <w:rFonts w:ascii="標楷體" w:eastAsia="標楷體" w:hAnsi="標楷體" w:hint="eastAsia"/>
                <w:color w:val="000000"/>
                <w:szCs w:val="24"/>
              </w:rPr>
              <w:t>查衛福部業於105年3月修訂「醫療爭議調處作業要點」訂有相關表單，</w:t>
            </w:r>
            <w:r w:rsidR="004B6808" w:rsidRPr="00604E17">
              <w:rPr>
                <w:rFonts w:ascii="標楷體" w:eastAsia="標楷體" w:hAnsi="標楷體" w:hint="eastAsia"/>
                <w:color w:val="000000"/>
                <w:szCs w:val="24"/>
              </w:rPr>
              <w:t>建議簡化條文內容，授權由主管機關參照現行</w:t>
            </w:r>
            <w:r w:rsidRPr="00604E17">
              <w:rPr>
                <w:rFonts w:ascii="標楷體" w:eastAsia="標楷體" w:hAnsi="標楷體" w:hint="eastAsia"/>
                <w:color w:val="000000"/>
                <w:szCs w:val="24"/>
              </w:rPr>
              <w:t>「醫療爭議調處作業要點」、</w:t>
            </w:r>
            <w:r w:rsidR="004B6808" w:rsidRPr="00604E17">
              <w:rPr>
                <w:rFonts w:ascii="標楷體" w:eastAsia="標楷體" w:hAnsi="標楷體" w:hint="eastAsia"/>
                <w:color w:val="000000"/>
                <w:szCs w:val="24"/>
              </w:rPr>
              <w:t>多元雙向試辦計畫之統一表單格式訂定之。</w:t>
            </w:r>
          </w:p>
          <w:p w14:paraId="48C4BB42" w14:textId="77777777" w:rsidR="00604E17" w:rsidRPr="00604E17" w:rsidRDefault="00630701" w:rsidP="00604E17">
            <w:pPr>
              <w:pStyle w:val="a7"/>
              <w:numPr>
                <w:ilvl w:val="0"/>
                <w:numId w:val="31"/>
              </w:numPr>
              <w:tabs>
                <w:tab w:val="left" w:pos="413"/>
              </w:tabs>
              <w:spacing w:line="440" w:lineRule="exact"/>
              <w:ind w:leftChars="0" w:left="429" w:hanging="429"/>
              <w:rPr>
                <w:rFonts w:ascii="標楷體" w:eastAsia="標楷體" w:hAnsi="標楷體" w:hint="eastAsia"/>
                <w:color w:val="000000"/>
                <w:szCs w:val="24"/>
              </w:rPr>
            </w:pPr>
            <w:r w:rsidRPr="00604E17">
              <w:rPr>
                <w:rFonts w:ascii="標楷體" w:eastAsia="標楷體" w:hAnsi="標楷體" w:hint="eastAsia"/>
                <w:color w:val="000000"/>
                <w:szCs w:val="24"/>
              </w:rPr>
              <w:t>由於病家未必知悉</w:t>
            </w:r>
            <w:r w:rsidRPr="00604E17">
              <w:rPr>
                <w:rFonts w:ascii="標楷體" w:eastAsia="標楷體" w:hAnsi="標楷體" w:hint="eastAsia"/>
                <w:color w:val="000000" w:themeColor="text1"/>
                <w:szCs w:val="24"/>
              </w:rPr>
              <w:t>相對人之出生年月日及身分證字號，且本法應以機構而非醫事人員為調解對象，爰建議不宜於母法要求申請書應載明該資訊。</w:t>
            </w:r>
          </w:p>
          <w:p w14:paraId="1D5859AD" w14:textId="3E50BE59" w:rsidR="00CD6133" w:rsidRPr="00604E17" w:rsidRDefault="004B6808" w:rsidP="00604E17">
            <w:pPr>
              <w:pStyle w:val="a7"/>
              <w:numPr>
                <w:ilvl w:val="0"/>
                <w:numId w:val="31"/>
              </w:numPr>
              <w:tabs>
                <w:tab w:val="left" w:pos="413"/>
              </w:tabs>
              <w:spacing w:line="440" w:lineRule="exact"/>
              <w:ind w:leftChars="0" w:left="429" w:hanging="429"/>
              <w:rPr>
                <w:rFonts w:ascii="標楷體" w:eastAsia="標楷體" w:hAnsi="標楷體"/>
                <w:color w:val="000000"/>
                <w:szCs w:val="24"/>
              </w:rPr>
            </w:pPr>
            <w:r w:rsidRPr="00604E17">
              <w:rPr>
                <w:rFonts w:ascii="標楷體" w:eastAsia="標楷體" w:hAnsi="標楷體" w:hint="eastAsia"/>
                <w:color w:val="000000"/>
                <w:szCs w:val="24"/>
              </w:rPr>
              <w:t>有鑒於醫療專業落差及部分病家填寫申請書有困難，爰建議增訂解會協助之義務，以期在便民原則下，提高病人優先選擇透過非訟化機制處理醫糾之意願。</w:t>
            </w:r>
          </w:p>
        </w:tc>
      </w:tr>
      <w:tr w:rsidR="00CD6133" w:rsidRPr="00076962" w14:paraId="1570E318" w14:textId="5AE0E08E" w:rsidTr="00CD6133">
        <w:tc>
          <w:tcPr>
            <w:tcW w:w="4676" w:type="dxa"/>
          </w:tcPr>
          <w:p w14:paraId="409DAC56" w14:textId="7CDA9A80"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第十七條　當事人經調解會通知到場進行調解者，無正當理由不得拒絕到場。</w:t>
            </w:r>
          </w:p>
          <w:p w14:paraId="7BE945F7" w14:textId="77777777"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醫療機構無正當理由不得禁止或妨礙所屬醫事人員進行或成立調解之行為或措施。</w:t>
            </w:r>
          </w:p>
          <w:p w14:paraId="3F2E160F" w14:textId="77777777"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醫療機構不得因其所屬醫事人員申請或同意調解，或因調解成立或不成立，予以不利之處置。</w:t>
            </w:r>
          </w:p>
        </w:tc>
        <w:tc>
          <w:tcPr>
            <w:tcW w:w="4676" w:type="dxa"/>
          </w:tcPr>
          <w:p w14:paraId="0FB402A3" w14:textId="77777777" w:rsidR="00525619" w:rsidRPr="0032382A" w:rsidRDefault="00525619" w:rsidP="00525619">
            <w:pPr>
              <w:ind w:left="238" w:hanging="238"/>
              <w:jc w:val="both"/>
              <w:rPr>
                <w:rFonts w:ascii="Times New Roman" w:eastAsia="標楷體" w:hAnsi="Times New Roman"/>
              </w:rPr>
            </w:pPr>
            <w:r w:rsidRPr="0032382A">
              <w:rPr>
                <w:rFonts w:ascii="Times New Roman" w:eastAsia="標楷體" w:hAnsi="Times New Roman" w:hint="eastAsia"/>
              </w:rPr>
              <w:t>第十七條　當事人經調解會通知到場進行調解者，無正當理由不得拒絕到場。</w:t>
            </w:r>
          </w:p>
          <w:p w14:paraId="07D5E6C2" w14:textId="47F534A2" w:rsidR="00525619" w:rsidRPr="0032382A" w:rsidRDefault="00525619" w:rsidP="00525619">
            <w:pPr>
              <w:ind w:left="238" w:firstLineChars="202" w:firstLine="485"/>
              <w:jc w:val="both"/>
              <w:rPr>
                <w:rFonts w:ascii="Times New Roman" w:eastAsia="標楷體" w:hAnsi="Times New Roman"/>
              </w:rPr>
            </w:pPr>
            <w:r w:rsidRPr="0032382A">
              <w:rPr>
                <w:rFonts w:ascii="Times New Roman" w:eastAsia="標楷體" w:hAnsi="Times New Roman" w:hint="eastAsia"/>
              </w:rPr>
              <w:t>醫療機構</w:t>
            </w:r>
            <w:r w:rsidRPr="0032382A">
              <w:rPr>
                <w:rFonts w:ascii="標楷體" w:eastAsia="標楷體" w:hAnsi="標楷體" w:hint="eastAsia"/>
                <w:b/>
                <w:color w:val="E36C0A" w:themeColor="accent6" w:themeShade="BF"/>
                <w:szCs w:val="24"/>
                <w:u w:val="single"/>
              </w:rPr>
              <w:t>應指派具有調解決策權及知悉醫療事故內容之代表，出席調解會議；</w:t>
            </w:r>
            <w:r w:rsidRPr="0032382A">
              <w:rPr>
                <w:rFonts w:ascii="Times New Roman" w:eastAsia="標楷體" w:hAnsi="Times New Roman" w:hint="eastAsia"/>
              </w:rPr>
              <w:t>無正當理由不得禁止或妨礙所屬</w:t>
            </w:r>
            <w:r w:rsidR="00604E17" w:rsidRPr="00B879B5">
              <w:rPr>
                <w:rFonts w:ascii="標楷體" w:eastAsia="標楷體" w:hAnsi="標楷體" w:hint="eastAsia"/>
                <w:dstrike/>
                <w:color w:val="FF0000"/>
                <w:szCs w:val="24"/>
              </w:rPr>
              <w:t>醫事</w:t>
            </w:r>
            <w:r w:rsidRPr="0032382A">
              <w:rPr>
                <w:rFonts w:ascii="Times New Roman" w:eastAsia="標楷體" w:hAnsi="Times New Roman" w:hint="eastAsia"/>
              </w:rPr>
              <w:t>人員進行或成立調解之行為或措施。</w:t>
            </w:r>
          </w:p>
          <w:p w14:paraId="35EE63A1" w14:textId="02B0829D" w:rsidR="00CD6133" w:rsidRPr="00055449" w:rsidRDefault="00525619" w:rsidP="00525619">
            <w:pPr>
              <w:ind w:left="238" w:firstLineChars="202" w:firstLine="485"/>
              <w:jc w:val="both"/>
              <w:rPr>
                <w:rFonts w:ascii="Times New Roman" w:eastAsia="標楷體" w:hAnsi="Times New Roman"/>
                <w:szCs w:val="24"/>
              </w:rPr>
            </w:pPr>
            <w:r w:rsidRPr="0032382A">
              <w:rPr>
                <w:rFonts w:ascii="Times New Roman" w:eastAsia="標楷體" w:hAnsi="Times New Roman" w:hint="eastAsia"/>
              </w:rPr>
              <w:t>醫療機構不得因其所屬</w:t>
            </w:r>
            <w:r w:rsidRPr="00B879B5">
              <w:rPr>
                <w:rFonts w:ascii="標楷體" w:eastAsia="標楷體" w:hAnsi="標楷體" w:hint="eastAsia"/>
                <w:dstrike/>
                <w:color w:val="FF0000"/>
                <w:szCs w:val="24"/>
              </w:rPr>
              <w:t>醫事</w:t>
            </w:r>
            <w:r w:rsidRPr="0032382A">
              <w:rPr>
                <w:rFonts w:ascii="Times New Roman" w:eastAsia="標楷體" w:hAnsi="Times New Roman" w:hint="eastAsia"/>
              </w:rPr>
              <w:t>人員申請或同意調解，或因調解成立或不成立，予以不利之處置。</w:t>
            </w:r>
          </w:p>
        </w:tc>
        <w:tc>
          <w:tcPr>
            <w:tcW w:w="4677" w:type="dxa"/>
          </w:tcPr>
          <w:p w14:paraId="6656926D" w14:textId="77777777" w:rsidR="007C0143" w:rsidRPr="00604E17" w:rsidRDefault="007C0143" w:rsidP="00604E17">
            <w:pPr>
              <w:pStyle w:val="a7"/>
              <w:numPr>
                <w:ilvl w:val="0"/>
                <w:numId w:val="32"/>
              </w:numPr>
              <w:tabs>
                <w:tab w:val="left" w:pos="413"/>
              </w:tabs>
              <w:spacing w:line="440" w:lineRule="exact"/>
              <w:ind w:leftChars="0"/>
              <w:rPr>
                <w:rFonts w:ascii="標楷體" w:eastAsia="標楷體" w:hAnsi="標楷體" w:hint="eastAsia"/>
                <w:color w:val="000000"/>
                <w:szCs w:val="24"/>
              </w:rPr>
            </w:pPr>
            <w:r w:rsidRPr="00604E17">
              <w:rPr>
                <w:rFonts w:ascii="標楷體" w:eastAsia="標楷體" w:hAnsi="標楷體" w:hint="eastAsia"/>
                <w:color w:val="000000"/>
                <w:szCs w:val="24"/>
              </w:rPr>
              <w:t>為解決過去醫院指派不清楚案件內容、不具決策權或代表性人員出席調解，導致調解會議上無法做出回應或承諾等問題，建議明訂醫療機構指派代表之規定。</w:t>
            </w:r>
          </w:p>
          <w:p w14:paraId="7BC77279" w14:textId="223C3E9C" w:rsidR="00CD6133" w:rsidRPr="00604E17" w:rsidRDefault="007C0143" w:rsidP="00604E17">
            <w:pPr>
              <w:pStyle w:val="a7"/>
              <w:numPr>
                <w:ilvl w:val="0"/>
                <w:numId w:val="32"/>
              </w:numPr>
              <w:tabs>
                <w:tab w:val="left" w:pos="413"/>
              </w:tabs>
              <w:spacing w:line="440" w:lineRule="exact"/>
              <w:ind w:leftChars="0"/>
              <w:rPr>
                <w:rFonts w:ascii="標楷體" w:eastAsia="標楷體" w:hAnsi="標楷體"/>
                <w:color w:val="000000"/>
                <w:szCs w:val="24"/>
              </w:rPr>
            </w:pPr>
            <w:r w:rsidRPr="00604E17">
              <w:rPr>
                <w:rFonts w:ascii="標楷體" w:eastAsia="標楷體" w:hAnsi="標楷體" w:hint="eastAsia"/>
                <w:color w:val="000000"/>
                <w:szCs w:val="24"/>
              </w:rPr>
              <w:t>有鑒於醫院派出處理醫糾的所屬人員如社工、法務、特助或專員等未必是醫事人員，爰刪除第二項及第三項「醫事」兩字。</w:t>
            </w:r>
          </w:p>
        </w:tc>
      </w:tr>
      <w:tr w:rsidR="00CD6133" w:rsidRPr="00076962" w14:paraId="7759C6E7" w14:textId="460CFEE0" w:rsidTr="00CD6133">
        <w:tc>
          <w:tcPr>
            <w:tcW w:w="4676" w:type="dxa"/>
          </w:tcPr>
          <w:p w14:paraId="5BC2482A" w14:textId="0EFFDB9E"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第十九條　直轄市、縣（市）主管機關因調解之需要，</w:t>
            </w:r>
            <w:r w:rsidRPr="007C0143">
              <w:rPr>
                <w:rFonts w:ascii="標楷體" w:eastAsia="標楷體" w:hAnsi="標楷體" w:hint="eastAsia"/>
                <w:b/>
                <w:color w:val="FF0000"/>
                <w:szCs w:val="24"/>
              </w:rPr>
              <w:t>得</w:t>
            </w:r>
            <w:r w:rsidRPr="00C80E22">
              <w:rPr>
                <w:rFonts w:ascii="標楷體" w:eastAsia="標楷體" w:hAnsi="標楷體" w:hint="eastAsia"/>
                <w:color w:val="000000" w:themeColor="text1"/>
                <w:szCs w:val="24"/>
              </w:rPr>
              <w:t>令醫療機構限期提供所需之病歷、診療紀錄或其他相關文件、資料；醫療機構不得規避、妨礙、拒絕或作虛偽之證明、報告或陳述。</w:t>
            </w:r>
          </w:p>
          <w:p w14:paraId="4757678C" w14:textId="189A8ABA"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調解會調解時，得邀請醫學、法律、心理、社會工作或其他相關專業人員列席陳述意見，或向第四條第一項受託團體申請爭點整理或評析意見；其屬死亡或重傷之醫療爭議者，應申請爭點整理或評析意見。</w:t>
            </w:r>
          </w:p>
          <w:p w14:paraId="7F2C3C19" w14:textId="0757D429"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前項調解會申請爭點整理或評析意見之費用，得由中央主管機關補助之。</w:t>
            </w:r>
          </w:p>
        </w:tc>
        <w:tc>
          <w:tcPr>
            <w:tcW w:w="4676" w:type="dxa"/>
          </w:tcPr>
          <w:p w14:paraId="42F022F8" w14:textId="77777777" w:rsidR="00525619" w:rsidRPr="0032382A" w:rsidRDefault="00525619" w:rsidP="00525619">
            <w:pPr>
              <w:ind w:left="238" w:hanging="238"/>
              <w:jc w:val="both"/>
              <w:rPr>
                <w:rFonts w:ascii="Times New Roman" w:eastAsia="標楷體" w:hAnsi="Times New Roman"/>
              </w:rPr>
            </w:pPr>
            <w:r w:rsidRPr="0032382A">
              <w:rPr>
                <w:rFonts w:ascii="Times New Roman" w:eastAsia="標楷體" w:hAnsi="Times New Roman" w:hint="eastAsia"/>
              </w:rPr>
              <w:t>第十九條　直轄市、縣（市）主管機關因調解之需要，</w:t>
            </w:r>
            <w:r w:rsidRPr="0032382A">
              <w:rPr>
                <w:rFonts w:ascii="標楷體" w:eastAsia="標楷體" w:hAnsi="標楷體" w:hint="eastAsia"/>
                <w:b/>
                <w:color w:val="E36C0A" w:themeColor="accent6" w:themeShade="BF"/>
                <w:szCs w:val="24"/>
                <w:u w:val="single"/>
              </w:rPr>
              <w:t>應要求</w:t>
            </w:r>
            <w:r w:rsidRPr="0032382A">
              <w:rPr>
                <w:rFonts w:ascii="Times New Roman" w:eastAsia="標楷體" w:hAnsi="Times New Roman" w:hint="eastAsia"/>
              </w:rPr>
              <w:t>醫療機構提供所需之病歷、</w:t>
            </w:r>
            <w:r w:rsidRPr="0032382A">
              <w:rPr>
                <w:rFonts w:ascii="標楷體" w:eastAsia="標楷體" w:hAnsi="標楷體" w:hint="eastAsia"/>
                <w:b/>
                <w:color w:val="E36C0A" w:themeColor="accent6" w:themeShade="BF"/>
                <w:szCs w:val="24"/>
                <w:u w:val="single"/>
              </w:rPr>
              <w:t>健保醫令清單、自費同意書等複製本、院內關懷之紀錄及說明資料、或其他主管機關指定之相關文件、資料；必要時，主管機關應派員至醫療機構進行調查或取得</w:t>
            </w:r>
            <w:r w:rsidRPr="0032382A">
              <w:rPr>
                <w:rFonts w:ascii="Times New Roman" w:eastAsia="標楷體" w:hAnsi="Times New Roman" w:hint="eastAsia"/>
              </w:rPr>
              <w:t>；醫療機構不得規避、妨礙、拒絕或作虛偽之證明、報告或陳述。</w:t>
            </w:r>
          </w:p>
          <w:p w14:paraId="117A6940" w14:textId="77777777" w:rsidR="00525619" w:rsidRPr="0032382A" w:rsidRDefault="00525619" w:rsidP="00525619">
            <w:pPr>
              <w:ind w:left="238" w:firstLineChars="202" w:firstLine="485"/>
              <w:jc w:val="both"/>
              <w:rPr>
                <w:rFonts w:ascii="標楷體" w:eastAsia="標楷體" w:hAnsi="標楷體"/>
                <w:szCs w:val="24"/>
              </w:rPr>
            </w:pPr>
            <w:r w:rsidRPr="0032382A">
              <w:rPr>
                <w:rFonts w:ascii="標楷體" w:eastAsia="標楷體" w:hAnsi="標楷體" w:hint="eastAsia"/>
                <w:szCs w:val="24"/>
              </w:rPr>
              <w:t>調解會調解</w:t>
            </w:r>
            <w:r w:rsidRPr="0032382A">
              <w:rPr>
                <w:rFonts w:ascii="標楷體" w:eastAsia="標楷體" w:hAnsi="標楷體" w:hint="eastAsia"/>
                <w:b/>
                <w:color w:val="E36C0A" w:themeColor="accent6" w:themeShade="BF"/>
                <w:szCs w:val="24"/>
                <w:u w:val="single"/>
              </w:rPr>
              <w:t>下列案件</w:t>
            </w:r>
            <w:r w:rsidRPr="0032382A">
              <w:rPr>
                <w:rFonts w:ascii="標楷體" w:eastAsia="標楷體" w:hAnsi="標楷體" w:hint="eastAsia"/>
                <w:szCs w:val="24"/>
              </w:rPr>
              <w:t>時，</w:t>
            </w:r>
            <w:r w:rsidRPr="0032382A">
              <w:rPr>
                <w:rFonts w:ascii="標楷體" w:eastAsia="標楷體" w:hAnsi="標楷體" w:hint="eastAsia"/>
                <w:b/>
                <w:color w:val="E36C0A" w:themeColor="accent6" w:themeShade="BF"/>
                <w:szCs w:val="24"/>
                <w:u w:val="single"/>
              </w:rPr>
              <w:t>應先送請中央主管機關認可之專家、評鑑為醫學中心之醫院、或第四條之財團法人、機構或團體，提供釐清爭點或評析意見，其費用由中央主管機關補助之：</w:t>
            </w:r>
          </w:p>
          <w:p w14:paraId="202477F8" w14:textId="77777777" w:rsidR="00525619" w:rsidRPr="0032382A" w:rsidRDefault="00525619" w:rsidP="00525619">
            <w:pPr>
              <w:pStyle w:val="a7"/>
              <w:numPr>
                <w:ilvl w:val="0"/>
                <w:numId w:val="16"/>
              </w:numPr>
              <w:kinsoku w:val="0"/>
              <w:overflowPunct w:val="0"/>
              <w:autoSpaceDE w:val="0"/>
              <w:ind w:leftChars="0" w:left="742" w:hanging="565"/>
              <w:jc w:val="both"/>
              <w:textAlignment w:val="center"/>
              <w:rPr>
                <w:rFonts w:ascii="標楷體" w:eastAsia="標楷體" w:hAnsi="標楷體"/>
                <w:b/>
                <w:color w:val="E36C0A" w:themeColor="accent6" w:themeShade="BF"/>
                <w:szCs w:val="24"/>
                <w:u w:val="single"/>
              </w:rPr>
            </w:pPr>
            <w:r w:rsidRPr="0032382A">
              <w:rPr>
                <w:rFonts w:ascii="標楷體" w:eastAsia="標楷體" w:hAnsi="標楷體" w:hint="eastAsia"/>
                <w:b/>
                <w:color w:val="E36C0A" w:themeColor="accent6" w:themeShade="BF"/>
                <w:szCs w:val="24"/>
                <w:u w:val="single"/>
              </w:rPr>
              <w:t>屬死亡或重傷之醫療事故。</w:t>
            </w:r>
          </w:p>
          <w:p w14:paraId="321B3604" w14:textId="77777777" w:rsidR="00525619" w:rsidRPr="0032382A" w:rsidRDefault="00525619" w:rsidP="00525619">
            <w:pPr>
              <w:pStyle w:val="a7"/>
              <w:numPr>
                <w:ilvl w:val="0"/>
                <w:numId w:val="16"/>
              </w:numPr>
              <w:kinsoku w:val="0"/>
              <w:overflowPunct w:val="0"/>
              <w:autoSpaceDE w:val="0"/>
              <w:ind w:leftChars="0" w:left="742" w:hanging="565"/>
              <w:jc w:val="both"/>
              <w:textAlignment w:val="center"/>
              <w:rPr>
                <w:rFonts w:ascii="標楷體" w:eastAsia="標楷體" w:hAnsi="標楷體"/>
                <w:b/>
                <w:color w:val="E36C0A" w:themeColor="accent6" w:themeShade="BF"/>
                <w:szCs w:val="24"/>
                <w:u w:val="single"/>
              </w:rPr>
            </w:pPr>
            <w:r w:rsidRPr="0032382A">
              <w:rPr>
                <w:rFonts w:ascii="標楷體" w:eastAsia="標楷體" w:hAnsi="標楷體" w:hint="eastAsia"/>
                <w:b/>
                <w:color w:val="E36C0A" w:themeColor="accent6" w:themeShade="BF"/>
                <w:szCs w:val="24"/>
                <w:u w:val="single"/>
              </w:rPr>
              <w:t>調解委員評估需要，或雙方當事人同意之非死亡或重傷醫療事故。</w:t>
            </w:r>
          </w:p>
          <w:p w14:paraId="2A0E081B" w14:textId="58F417E2" w:rsidR="00CD6133" w:rsidRPr="00055449" w:rsidRDefault="00525619" w:rsidP="00525619">
            <w:pPr>
              <w:ind w:left="238" w:firstLineChars="202" w:firstLine="485"/>
              <w:jc w:val="both"/>
              <w:rPr>
                <w:rFonts w:ascii="Times New Roman" w:eastAsia="標楷體" w:hAnsi="Times New Roman"/>
                <w:szCs w:val="24"/>
              </w:rPr>
            </w:pPr>
            <w:r w:rsidRPr="0032382A">
              <w:rPr>
                <w:rFonts w:ascii="標楷體" w:eastAsia="標楷體" w:hAnsi="標楷體" w:hint="eastAsia"/>
                <w:b/>
                <w:color w:val="E36C0A" w:themeColor="accent6" w:themeShade="BF"/>
                <w:szCs w:val="24"/>
                <w:u w:val="single"/>
              </w:rPr>
              <w:t>前項釐清爭點或評析意見，不得採為相關訴訟之證據或裁判基礎。</w:t>
            </w:r>
          </w:p>
        </w:tc>
        <w:tc>
          <w:tcPr>
            <w:tcW w:w="4677" w:type="dxa"/>
          </w:tcPr>
          <w:p w14:paraId="45A3A647" w14:textId="77777777" w:rsidR="007C0143" w:rsidRPr="00604E17" w:rsidRDefault="007C0143" w:rsidP="00604E17">
            <w:pPr>
              <w:pStyle w:val="a7"/>
              <w:numPr>
                <w:ilvl w:val="0"/>
                <w:numId w:val="33"/>
              </w:numPr>
              <w:tabs>
                <w:tab w:val="left" w:pos="4"/>
              </w:tabs>
              <w:spacing w:line="440" w:lineRule="exact"/>
              <w:ind w:leftChars="0"/>
              <w:rPr>
                <w:rFonts w:ascii="標楷體" w:eastAsia="標楷體" w:hAnsi="標楷體"/>
                <w:color w:val="000000"/>
                <w:szCs w:val="24"/>
              </w:rPr>
            </w:pPr>
            <w:r w:rsidRPr="00604E17">
              <w:rPr>
                <w:rFonts w:ascii="標楷體" w:eastAsia="標楷體" w:hAnsi="標楷體" w:hint="eastAsia"/>
                <w:color w:val="000000"/>
                <w:szCs w:val="24"/>
              </w:rPr>
              <w:t>為確保調解資料之完整性，除病方提供資料外，主管機關也應該要求醫方提供相關資料，以資比對。必要時(例如病人無法申請到完整病歷資料時)，主管機關應派員至醫療機構調查或取得資料。</w:t>
            </w:r>
          </w:p>
          <w:p w14:paraId="1FE90BB1" w14:textId="77777777" w:rsidR="00604E17" w:rsidRDefault="007C0143" w:rsidP="00604E17">
            <w:pPr>
              <w:pStyle w:val="a7"/>
              <w:numPr>
                <w:ilvl w:val="0"/>
                <w:numId w:val="33"/>
              </w:numPr>
              <w:tabs>
                <w:tab w:val="left" w:pos="4"/>
              </w:tabs>
              <w:spacing w:beforeLines="10" w:before="36" w:afterLines="10" w:after="36" w:line="440" w:lineRule="exact"/>
              <w:ind w:leftChars="0"/>
              <w:rPr>
                <w:rFonts w:ascii="標楷體" w:eastAsia="標楷體" w:hAnsi="標楷體" w:hint="eastAsia"/>
                <w:color w:val="000000"/>
                <w:szCs w:val="24"/>
              </w:rPr>
            </w:pPr>
            <w:r w:rsidRPr="00604E17">
              <w:rPr>
                <w:rFonts w:ascii="標楷體" w:eastAsia="標楷體" w:hAnsi="標楷體" w:hint="eastAsia"/>
                <w:color w:val="000000"/>
                <w:szCs w:val="24"/>
              </w:rPr>
              <w:t>第八條之釐清爭點或評析意見，是由當事人自行申請，未必與本章調解程序有關。而本條為調解所作之釐清爭點或評析意見，則是由調解會送請鑑定，爰建議本條不應該援引第八條第一項規定，以免造成混淆。</w:t>
            </w:r>
          </w:p>
          <w:p w14:paraId="01930BA9" w14:textId="77777777" w:rsidR="00604E17" w:rsidRDefault="007C0143" w:rsidP="00604E17">
            <w:pPr>
              <w:pStyle w:val="a7"/>
              <w:numPr>
                <w:ilvl w:val="0"/>
                <w:numId w:val="33"/>
              </w:numPr>
              <w:tabs>
                <w:tab w:val="left" w:pos="4"/>
              </w:tabs>
              <w:spacing w:beforeLines="10" w:before="36" w:afterLines="10" w:after="36" w:line="440" w:lineRule="exact"/>
              <w:ind w:leftChars="0"/>
              <w:rPr>
                <w:rFonts w:ascii="標楷體" w:eastAsia="標楷體" w:hAnsi="標楷體" w:hint="eastAsia"/>
                <w:color w:val="000000"/>
                <w:szCs w:val="24"/>
              </w:rPr>
            </w:pPr>
            <w:r w:rsidRPr="00604E17">
              <w:rPr>
                <w:rFonts w:ascii="標楷體" w:eastAsia="標楷體" w:hAnsi="標楷體" w:hint="eastAsia"/>
                <w:color w:val="000000"/>
                <w:szCs w:val="24"/>
              </w:rPr>
              <w:t>參考多元雙向試辦計畫既有程序，調解委員評估需要送初步鑑定之醫療事故，其鑑定費用由中央政府補助。</w:t>
            </w:r>
          </w:p>
          <w:p w14:paraId="672B08C5" w14:textId="0132F4DE" w:rsidR="00CD6133" w:rsidRPr="00604E17" w:rsidRDefault="007C0143" w:rsidP="00604E17">
            <w:pPr>
              <w:pStyle w:val="a7"/>
              <w:numPr>
                <w:ilvl w:val="0"/>
                <w:numId w:val="33"/>
              </w:numPr>
              <w:tabs>
                <w:tab w:val="left" w:pos="4"/>
              </w:tabs>
              <w:spacing w:beforeLines="10" w:before="36" w:afterLines="10" w:after="36" w:line="440" w:lineRule="exact"/>
              <w:ind w:leftChars="0"/>
              <w:rPr>
                <w:rFonts w:ascii="標楷體" w:eastAsia="標楷體" w:hAnsi="標楷體"/>
                <w:color w:val="000000"/>
                <w:szCs w:val="24"/>
              </w:rPr>
            </w:pPr>
            <w:r w:rsidRPr="00604E17">
              <w:rPr>
                <w:rFonts w:ascii="標楷體" w:eastAsia="標楷體" w:hAnsi="標楷體" w:hint="eastAsia"/>
                <w:color w:val="000000"/>
                <w:szCs w:val="24"/>
              </w:rPr>
              <w:t>明定調解會送請釐清爭點及評析意見，由政府補助費用以作為非訟化調解基礎者，不得採為相關訴訟之證據或裁判基礎。</w:t>
            </w:r>
          </w:p>
        </w:tc>
      </w:tr>
      <w:tr w:rsidR="00CD6133" w:rsidRPr="00076962" w14:paraId="24A44F81" w14:textId="75F55A86" w:rsidTr="00CD6133">
        <w:tc>
          <w:tcPr>
            <w:tcW w:w="4676" w:type="dxa"/>
          </w:tcPr>
          <w:p w14:paraId="4A30769E" w14:textId="3CFB944C"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第二十條　調解委員應本客觀、公正、和平與懇切之態度，對當事人說明調解程序及相關法律效果，並為適當之勸導，力謀調解之成立。</w:t>
            </w:r>
          </w:p>
          <w:p w14:paraId="7295BD97" w14:textId="77FD3768" w:rsidR="00CD6133" w:rsidRPr="00C80E22" w:rsidRDefault="00CD6133" w:rsidP="00CD6133">
            <w:pPr>
              <w:ind w:left="238" w:firstLineChars="200" w:firstLine="480"/>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調解過程中，代理人有強暴、脅迫、恐嚇或其他非法行為，調解委員得禁止其代理。</w:t>
            </w:r>
          </w:p>
        </w:tc>
        <w:tc>
          <w:tcPr>
            <w:tcW w:w="4676" w:type="dxa"/>
          </w:tcPr>
          <w:p w14:paraId="38CEB62A" w14:textId="77777777" w:rsidR="00525619" w:rsidRPr="0032382A" w:rsidRDefault="00525619" w:rsidP="00525619">
            <w:pPr>
              <w:ind w:left="238" w:hanging="238"/>
              <w:jc w:val="both"/>
              <w:rPr>
                <w:rFonts w:ascii="標楷體" w:eastAsia="標楷體" w:hAnsi="標楷體"/>
                <w:szCs w:val="24"/>
              </w:rPr>
            </w:pPr>
            <w:r w:rsidRPr="0032382A">
              <w:rPr>
                <w:rFonts w:ascii="標楷體" w:eastAsia="標楷體" w:hAnsi="標楷體" w:hint="eastAsia"/>
                <w:szCs w:val="24"/>
              </w:rPr>
              <w:t xml:space="preserve">第二十條　</w:t>
            </w:r>
            <w:r w:rsidRPr="0032382A">
              <w:rPr>
                <w:rFonts w:ascii="標楷體" w:eastAsia="標楷體" w:hAnsi="標楷體" w:hint="eastAsia"/>
                <w:b/>
                <w:color w:val="E36C0A" w:themeColor="accent6" w:themeShade="BF"/>
                <w:szCs w:val="24"/>
                <w:u w:val="single"/>
              </w:rPr>
              <w:t>調解會應指派醫學、法律之調解委員至少各一名，出席調解會議。</w:t>
            </w:r>
            <w:r w:rsidRPr="0032382A">
              <w:rPr>
                <w:rFonts w:ascii="標楷體" w:eastAsia="標楷體" w:hAnsi="標楷體" w:hint="eastAsia"/>
                <w:szCs w:val="24"/>
              </w:rPr>
              <w:t>調解委員應本和平、懇切之態度，對當事人說明調解程序及相關法律效果，並為適當之勸導，力謀調解之成立。</w:t>
            </w:r>
          </w:p>
          <w:p w14:paraId="6D2F2ECA" w14:textId="77777777" w:rsidR="00525619" w:rsidRPr="0032382A" w:rsidRDefault="00525619" w:rsidP="00525619">
            <w:pPr>
              <w:ind w:left="238" w:firstLineChars="200" w:firstLine="480"/>
              <w:jc w:val="both"/>
              <w:rPr>
                <w:rFonts w:ascii="Times New Roman" w:eastAsia="標楷體" w:hAnsi="Times New Roman"/>
              </w:rPr>
            </w:pPr>
            <w:r w:rsidRPr="0032382A">
              <w:rPr>
                <w:rFonts w:ascii="Times New Roman" w:eastAsia="標楷體" w:hAnsi="Times New Roman" w:hint="eastAsia"/>
              </w:rPr>
              <w:t>調解過程中，</w:t>
            </w:r>
            <w:r w:rsidRPr="0032382A">
              <w:rPr>
                <w:rFonts w:ascii="標楷體" w:eastAsia="標楷體" w:hAnsi="標楷體" w:hint="eastAsia"/>
                <w:b/>
                <w:color w:val="E36C0A" w:themeColor="accent6" w:themeShade="BF"/>
                <w:szCs w:val="24"/>
                <w:u w:val="single"/>
              </w:rPr>
              <w:t>當事人或其他到場之人</w:t>
            </w:r>
            <w:r w:rsidRPr="0032382A">
              <w:rPr>
                <w:rFonts w:ascii="Times New Roman" w:eastAsia="標楷體" w:hAnsi="Times New Roman" w:hint="eastAsia"/>
              </w:rPr>
              <w:t>有強暴、脅迫、恐嚇或其他非法行為</w:t>
            </w:r>
            <w:r w:rsidRPr="0032382A">
              <w:rPr>
                <w:rFonts w:ascii="標楷體" w:eastAsia="標楷體" w:hAnsi="標楷體" w:hint="eastAsia"/>
                <w:b/>
                <w:color w:val="E36C0A" w:themeColor="accent6" w:themeShade="BF"/>
                <w:szCs w:val="24"/>
                <w:u w:val="single"/>
              </w:rPr>
              <w:t>，主管機關應請警察機關派員到場依法處理</w:t>
            </w:r>
            <w:r w:rsidRPr="0032382A">
              <w:rPr>
                <w:rFonts w:ascii="Times New Roman" w:eastAsia="標楷體" w:hAnsi="Times New Roman" w:hint="eastAsia"/>
              </w:rPr>
              <w:t>。</w:t>
            </w:r>
          </w:p>
          <w:p w14:paraId="4765BA2E" w14:textId="4622EACD" w:rsidR="00CD6133" w:rsidRPr="00055449" w:rsidRDefault="00525619" w:rsidP="00525619">
            <w:pPr>
              <w:ind w:left="238" w:firstLineChars="200" w:firstLine="480"/>
              <w:jc w:val="both"/>
              <w:rPr>
                <w:rFonts w:ascii="Times New Roman" w:eastAsia="標楷體" w:hAnsi="Times New Roman"/>
                <w:szCs w:val="24"/>
              </w:rPr>
            </w:pPr>
            <w:r w:rsidRPr="0032382A">
              <w:rPr>
                <w:rFonts w:ascii="標楷體" w:eastAsia="標楷體" w:hAnsi="標楷體" w:hint="eastAsia"/>
                <w:b/>
                <w:color w:val="E36C0A" w:themeColor="accent6" w:themeShade="BF"/>
                <w:szCs w:val="24"/>
                <w:u w:val="single"/>
              </w:rPr>
              <w:t>代理人有前項行為者，調解委員得禁止其代理。</w:t>
            </w:r>
          </w:p>
        </w:tc>
        <w:tc>
          <w:tcPr>
            <w:tcW w:w="4677" w:type="dxa"/>
          </w:tcPr>
          <w:p w14:paraId="5C0BF715" w14:textId="77777777" w:rsidR="00604E17" w:rsidRDefault="00604E17" w:rsidP="00604E17">
            <w:pPr>
              <w:numPr>
                <w:ilvl w:val="0"/>
                <w:numId w:val="34"/>
              </w:numPr>
              <w:spacing w:beforeLines="10" w:before="36" w:afterLines="10" w:after="36" w:line="0" w:lineRule="atLeast"/>
              <w:jc w:val="both"/>
              <w:rPr>
                <w:rFonts w:ascii="標楷體" w:eastAsia="標楷體" w:hAnsi="標楷體" w:hint="eastAsia"/>
                <w:color w:val="000000"/>
                <w:szCs w:val="24"/>
              </w:rPr>
            </w:pPr>
            <w:r w:rsidRPr="00604E17">
              <w:rPr>
                <w:rFonts w:ascii="標楷體" w:eastAsia="標楷體" w:hAnsi="標楷體" w:hint="eastAsia"/>
                <w:color w:val="000000"/>
                <w:szCs w:val="24"/>
              </w:rPr>
              <w:t>考量本法之規定不應比多元雙向試辦計畫之規定內容還落後，建議比照增訂「醫、法雙調委」制度。</w:t>
            </w:r>
          </w:p>
          <w:p w14:paraId="0473EE1E" w14:textId="18A03DF4" w:rsidR="00CD6133" w:rsidRPr="00604E17" w:rsidRDefault="00604E17" w:rsidP="00604E17">
            <w:pPr>
              <w:numPr>
                <w:ilvl w:val="0"/>
                <w:numId w:val="34"/>
              </w:numPr>
              <w:spacing w:beforeLines="10" w:before="36" w:afterLines="10" w:after="36" w:line="0" w:lineRule="atLeast"/>
              <w:jc w:val="both"/>
              <w:rPr>
                <w:rFonts w:ascii="標楷體" w:eastAsia="標楷體" w:hAnsi="標楷體"/>
                <w:color w:val="000000"/>
                <w:szCs w:val="24"/>
              </w:rPr>
            </w:pPr>
            <w:r>
              <w:rPr>
                <w:rFonts w:ascii="標楷體" w:eastAsia="標楷體" w:hAnsi="標楷體" w:hint="eastAsia"/>
                <w:color w:val="000000"/>
                <w:szCs w:val="24"/>
              </w:rPr>
              <w:t>查現行衛福部頒定</w:t>
            </w:r>
            <w:r w:rsidR="00687947">
              <w:rPr>
                <w:rFonts w:ascii="標楷體" w:eastAsia="標楷體" w:hAnsi="標楷體" w:hint="eastAsia"/>
                <w:color w:val="000000"/>
                <w:szCs w:val="24"/>
              </w:rPr>
              <w:t>之 「醫療爭議調處作業要點」第十二點規定，</w:t>
            </w:r>
            <w:r w:rsidRPr="00604E17">
              <w:rPr>
                <w:rFonts w:ascii="標楷體" w:eastAsia="標楷體" w:hAnsi="標楷體" w:hint="eastAsia"/>
                <w:color w:val="000000"/>
                <w:szCs w:val="24"/>
              </w:rPr>
              <w:t>排除調處過程中發生暴力或恐嚇，應是主管機關職責，不應轉嫁由調解委員來發動或承擔相關責任，爰建議修正</w:t>
            </w:r>
            <w:r w:rsidR="00687947">
              <w:rPr>
                <w:rFonts w:ascii="標楷體" w:eastAsia="標楷體" w:hAnsi="標楷體" w:hint="eastAsia"/>
                <w:color w:val="000000"/>
                <w:szCs w:val="24"/>
              </w:rPr>
              <w:t>，以</w:t>
            </w:r>
            <w:r w:rsidR="007708D1">
              <w:rPr>
                <w:rFonts w:ascii="標楷體" w:eastAsia="標楷體" w:hAnsi="標楷體" w:hint="eastAsia"/>
                <w:color w:val="000000"/>
                <w:szCs w:val="24"/>
              </w:rPr>
              <w:t>確實</w:t>
            </w:r>
            <w:r w:rsidR="00687947">
              <w:rPr>
                <w:rFonts w:ascii="標楷體" w:eastAsia="標楷體" w:hAnsi="標楷體" w:hint="eastAsia"/>
                <w:color w:val="000000"/>
                <w:szCs w:val="24"/>
              </w:rPr>
              <w:t>保障調處委員及雙方當事人能安全地參與調處</w:t>
            </w:r>
            <w:r w:rsidRPr="00604E17">
              <w:rPr>
                <w:rFonts w:ascii="標楷體" w:eastAsia="標楷體" w:hAnsi="標楷體" w:hint="eastAsia"/>
                <w:color w:val="000000"/>
                <w:szCs w:val="24"/>
              </w:rPr>
              <w:t>。</w:t>
            </w:r>
          </w:p>
        </w:tc>
      </w:tr>
      <w:tr w:rsidR="00CD6133" w:rsidRPr="00076962" w14:paraId="03584B67" w14:textId="79197594" w:rsidTr="00CD6133">
        <w:tc>
          <w:tcPr>
            <w:tcW w:w="4676" w:type="dxa"/>
            <w:tcBorders>
              <w:top w:val="single" w:sz="4" w:space="0" w:color="auto"/>
            </w:tcBorders>
          </w:tcPr>
          <w:p w14:paraId="703E01F5" w14:textId="25692D66"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第四章</w:t>
            </w:r>
            <w:r w:rsidRPr="00C80E22">
              <w:rPr>
                <w:rFonts w:ascii="標楷體" w:eastAsia="標楷體" w:hAnsi="標楷體"/>
                <w:color w:val="000000" w:themeColor="text1"/>
                <w:szCs w:val="24"/>
              </w:rPr>
              <w:t xml:space="preserve"> </w:t>
            </w:r>
            <w:r w:rsidRPr="00C80E22">
              <w:rPr>
                <w:rFonts w:ascii="標楷體" w:eastAsia="標楷體" w:hAnsi="標楷體" w:hint="eastAsia"/>
                <w:color w:val="000000" w:themeColor="text1"/>
                <w:szCs w:val="24"/>
              </w:rPr>
              <w:t>醫療事故預防</w:t>
            </w:r>
          </w:p>
        </w:tc>
        <w:tc>
          <w:tcPr>
            <w:tcW w:w="4676" w:type="dxa"/>
            <w:tcBorders>
              <w:top w:val="single" w:sz="4" w:space="0" w:color="auto"/>
              <w:left w:val="single" w:sz="4" w:space="0" w:color="auto"/>
              <w:bottom w:val="single" w:sz="4" w:space="0" w:color="auto"/>
              <w:right w:val="single" w:sz="4" w:space="0" w:color="auto"/>
            </w:tcBorders>
          </w:tcPr>
          <w:p w14:paraId="15DE11A9" w14:textId="33123378" w:rsidR="00CD6133" w:rsidRPr="00055449" w:rsidRDefault="00CD6133" w:rsidP="00CD6133">
            <w:pPr>
              <w:kinsoku w:val="0"/>
              <w:overflowPunct w:val="0"/>
              <w:autoSpaceDE w:val="0"/>
              <w:ind w:left="166" w:hanging="284"/>
              <w:jc w:val="both"/>
              <w:textAlignment w:val="center"/>
              <w:rPr>
                <w:rFonts w:ascii="Times New Roman" w:eastAsia="標楷體" w:hAnsi="Times New Roman"/>
                <w:szCs w:val="24"/>
              </w:rPr>
            </w:pPr>
            <w:r w:rsidRPr="00055449">
              <w:rPr>
                <w:rFonts w:ascii="Times New Roman" w:eastAsia="標楷體" w:hAnsi="Times New Roman" w:hint="eastAsia"/>
              </w:rPr>
              <w:t xml:space="preserve">第四章　</w:t>
            </w:r>
            <w:r w:rsidR="00B879B5" w:rsidRPr="00C80E22">
              <w:rPr>
                <w:rFonts w:ascii="標楷體" w:eastAsia="標楷體" w:hAnsi="標楷體" w:hint="eastAsia"/>
                <w:color w:val="000000" w:themeColor="text1"/>
                <w:szCs w:val="24"/>
              </w:rPr>
              <w:t>醫療事故</w:t>
            </w:r>
            <w:r w:rsidR="00B879B5" w:rsidRPr="00B879B5">
              <w:rPr>
                <w:rFonts w:ascii="標楷體" w:eastAsia="標楷體" w:hAnsi="標楷體" w:hint="eastAsia"/>
                <w:b/>
                <w:color w:val="E36C0A" w:themeColor="accent6" w:themeShade="BF"/>
                <w:szCs w:val="24"/>
                <w:u w:val="single"/>
              </w:rPr>
              <w:t>通報及學習</w:t>
            </w:r>
          </w:p>
        </w:tc>
        <w:tc>
          <w:tcPr>
            <w:tcW w:w="4677" w:type="dxa"/>
            <w:tcBorders>
              <w:top w:val="single" w:sz="4" w:space="0" w:color="auto"/>
              <w:left w:val="single" w:sz="4" w:space="0" w:color="auto"/>
              <w:bottom w:val="single" w:sz="4" w:space="0" w:color="auto"/>
              <w:right w:val="single" w:sz="4" w:space="0" w:color="auto"/>
            </w:tcBorders>
          </w:tcPr>
          <w:p w14:paraId="47CE7684" w14:textId="662AF248" w:rsidR="00CD6133" w:rsidRPr="00DA2803" w:rsidRDefault="00CD6133" w:rsidP="00604E17">
            <w:pPr>
              <w:tabs>
                <w:tab w:val="left" w:pos="413"/>
              </w:tabs>
              <w:ind w:leftChars="1" w:left="2" w:firstLineChars="177" w:firstLine="425"/>
              <w:rPr>
                <w:rFonts w:ascii="標楷體" w:eastAsia="標楷體" w:hAnsi="標楷體"/>
                <w:szCs w:val="24"/>
              </w:rPr>
            </w:pPr>
          </w:p>
        </w:tc>
      </w:tr>
      <w:tr w:rsidR="00CD6133" w:rsidRPr="00076962" w14:paraId="168930ED" w14:textId="5989C2E9" w:rsidTr="00CD6133">
        <w:tc>
          <w:tcPr>
            <w:tcW w:w="4676" w:type="dxa"/>
          </w:tcPr>
          <w:p w14:paraId="39363D1B" w14:textId="6D5F0068" w:rsidR="00CD6133" w:rsidRPr="00C80E22" w:rsidRDefault="00CD6133" w:rsidP="00CD6133">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第三十一條　醫療機構應建立病人安全管理制度、擬定推動計畫，鼓勵內部人員通報病人安全事件，並對於醫療事故風險進行分析、預防與管控，以提升醫療品質及保障病人安全。</w:t>
            </w:r>
          </w:p>
          <w:p w14:paraId="70D2F731" w14:textId="77777777"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醫療機構應就重大醫療事故，分析其根本原因、提出改善方案，並通報主管機關。</w:t>
            </w:r>
          </w:p>
          <w:p w14:paraId="68621074" w14:textId="571458B2"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前項</w:t>
            </w:r>
            <w:r w:rsidRPr="00C80E22">
              <w:rPr>
                <w:rFonts w:ascii="Times New Roman" w:eastAsia="標楷體" w:hAnsi="Times New Roman" w:hint="eastAsia"/>
                <w:color w:val="000000" w:themeColor="text1"/>
              </w:rPr>
              <w:t>應</w:t>
            </w:r>
            <w:r w:rsidRPr="00C80E22">
              <w:rPr>
                <w:rFonts w:ascii="標楷體" w:eastAsia="標楷體" w:hAnsi="標楷體" w:hint="eastAsia"/>
                <w:color w:val="000000" w:themeColor="text1"/>
                <w:szCs w:val="24"/>
              </w:rPr>
              <w:t>通報之重大醫療事故、通報程序、內容及其他應遵行事項之辦法，由中央主管機關定之。</w:t>
            </w:r>
          </w:p>
          <w:p w14:paraId="0FD3D6B4" w14:textId="3F56CFEB" w:rsidR="00CD6133" w:rsidRPr="00C80E22" w:rsidRDefault="00CD6133" w:rsidP="00CD6133">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第一項之病人安全事件通報相關資料與第二項重大醫療事故根本原因及內容之分析，不得採為相關行政處分、訴訟之證據或裁判基礎。</w:t>
            </w:r>
          </w:p>
        </w:tc>
        <w:tc>
          <w:tcPr>
            <w:tcW w:w="4676" w:type="dxa"/>
            <w:tcBorders>
              <w:top w:val="single" w:sz="4" w:space="0" w:color="auto"/>
            </w:tcBorders>
          </w:tcPr>
          <w:p w14:paraId="2237144A" w14:textId="77777777" w:rsidR="00322F3A" w:rsidRPr="00C80E22" w:rsidRDefault="00322F3A" w:rsidP="00322F3A">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第三十一條　醫療機構應建立病人安全管理制度、擬定推動計畫，鼓勵內部人員通報病人安全事件，並對於醫療事故風險進行分析、預防與管控，以提升醫療品質及保障病人安全。</w:t>
            </w:r>
          </w:p>
          <w:p w14:paraId="36122463" w14:textId="77777777" w:rsidR="00322F3A" w:rsidRPr="00C80E22" w:rsidRDefault="00322F3A" w:rsidP="00322F3A">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醫療機構應就重大醫療事故，分析其根本原因、提出改善方案，並通報主管機關。</w:t>
            </w:r>
          </w:p>
          <w:p w14:paraId="17B0D942" w14:textId="4FC27464" w:rsidR="00B879B5" w:rsidRPr="0050573A" w:rsidRDefault="00B879B5" w:rsidP="00B879B5">
            <w:pPr>
              <w:ind w:left="238" w:firstLineChars="202" w:firstLine="485"/>
              <w:jc w:val="both"/>
              <w:rPr>
                <w:rFonts w:ascii="標楷體" w:eastAsia="標楷體" w:hAnsi="標楷體"/>
                <w:b/>
                <w:color w:val="E36C0A" w:themeColor="accent6" w:themeShade="BF"/>
                <w:szCs w:val="24"/>
                <w:u w:val="single"/>
              </w:rPr>
            </w:pPr>
            <w:r w:rsidRPr="00227CAD">
              <w:rPr>
                <w:rFonts w:ascii="標楷體" w:eastAsia="標楷體" w:hAnsi="標楷體" w:hint="eastAsia"/>
                <w:b/>
                <w:color w:val="E36C0A" w:themeColor="accent6" w:themeShade="BF"/>
                <w:szCs w:val="24"/>
                <w:u w:val="single"/>
              </w:rPr>
              <w:t>中央主管機關應建立</w:t>
            </w:r>
            <w:r w:rsidR="0050573A" w:rsidRPr="0050573A">
              <w:rPr>
                <w:rFonts w:ascii="標楷體" w:eastAsia="標楷體" w:hAnsi="標楷體" w:hint="eastAsia"/>
                <w:b/>
                <w:color w:val="E36C0A" w:themeColor="accent6" w:themeShade="BF"/>
                <w:szCs w:val="24"/>
                <w:u w:val="single"/>
              </w:rPr>
              <w:t>病人安全通報及學習系統</w:t>
            </w:r>
            <w:r w:rsidRPr="00227CAD">
              <w:rPr>
                <w:rFonts w:ascii="標楷體" w:eastAsia="標楷體" w:hAnsi="標楷體" w:hint="eastAsia"/>
                <w:b/>
                <w:color w:val="E36C0A" w:themeColor="accent6" w:themeShade="BF"/>
                <w:szCs w:val="24"/>
                <w:u w:val="single"/>
              </w:rPr>
              <w:t>，受理病人通報醫療事故，並於受理病人通報案件後，比對醫療機構通報資料，通知直轄市、縣（市）主管機關查核醫療機構提供第五條關懷服務之情形。</w:t>
            </w:r>
          </w:p>
          <w:p w14:paraId="768B8879" w14:textId="77777777" w:rsidR="00B879B5" w:rsidRPr="009310C0" w:rsidRDefault="00B879B5" w:rsidP="00B879B5">
            <w:pPr>
              <w:ind w:left="238" w:firstLineChars="202" w:firstLine="485"/>
              <w:jc w:val="both"/>
              <w:rPr>
                <w:rFonts w:ascii="標楷體" w:eastAsia="標楷體" w:hAnsi="標楷體"/>
                <w:szCs w:val="24"/>
              </w:rPr>
            </w:pPr>
            <w:r w:rsidRPr="00227CAD">
              <w:rPr>
                <w:rFonts w:ascii="標楷體" w:eastAsia="標楷體" w:hAnsi="標楷體" w:hint="eastAsia"/>
                <w:b/>
                <w:color w:val="E36C0A" w:themeColor="accent6" w:themeShade="BF"/>
                <w:szCs w:val="24"/>
                <w:u w:val="single"/>
              </w:rPr>
              <w:t>前二項通報事項、</w:t>
            </w:r>
            <w:r w:rsidRPr="009310C0">
              <w:rPr>
                <w:rFonts w:ascii="標楷體" w:eastAsia="標楷體" w:hAnsi="標楷體" w:hint="eastAsia"/>
                <w:szCs w:val="24"/>
              </w:rPr>
              <w:t>程序、內容及其他應遵行事項之辦法，由中央主管機關定之。</w:t>
            </w:r>
          </w:p>
          <w:p w14:paraId="4B3049BA" w14:textId="109597C1" w:rsidR="00CD6133" w:rsidRPr="00055449" w:rsidRDefault="00322F3A" w:rsidP="00B879B5">
            <w:pPr>
              <w:ind w:left="238" w:firstLineChars="202" w:firstLine="485"/>
              <w:jc w:val="both"/>
              <w:rPr>
                <w:rFonts w:ascii="Times New Roman" w:eastAsia="標楷體" w:hAnsi="Times New Roman"/>
                <w:szCs w:val="24"/>
              </w:rPr>
            </w:pPr>
            <w:r w:rsidRPr="00322F3A">
              <w:rPr>
                <w:rFonts w:ascii="標楷體" w:eastAsia="標楷體" w:hAnsi="標楷體" w:hint="eastAsia"/>
                <w:dstrike/>
                <w:color w:val="FF0000"/>
                <w:szCs w:val="24"/>
              </w:rPr>
              <w:t>第一項之</w:t>
            </w:r>
            <w:r w:rsidRPr="00C80E22">
              <w:rPr>
                <w:rFonts w:ascii="標楷體" w:eastAsia="標楷體" w:hAnsi="標楷體" w:hint="eastAsia"/>
                <w:color w:val="000000" w:themeColor="text1"/>
                <w:szCs w:val="24"/>
              </w:rPr>
              <w:t>病人安全事件通報相關資料與</w:t>
            </w:r>
            <w:r w:rsidRPr="00322F3A">
              <w:rPr>
                <w:rFonts w:ascii="標楷體" w:eastAsia="標楷體" w:hAnsi="標楷體" w:hint="eastAsia"/>
                <w:dstrike/>
                <w:color w:val="FF0000"/>
                <w:szCs w:val="24"/>
              </w:rPr>
              <w:t>第二項</w:t>
            </w:r>
            <w:r w:rsidRPr="00C80E22">
              <w:rPr>
                <w:rFonts w:ascii="標楷體" w:eastAsia="標楷體" w:hAnsi="標楷體" w:hint="eastAsia"/>
                <w:color w:val="000000" w:themeColor="text1"/>
                <w:szCs w:val="24"/>
              </w:rPr>
              <w:t>重大醫療事故根本原因及內容之分析，不得採為相關行政處分、訴訟之證據或裁判基礎。</w:t>
            </w:r>
          </w:p>
        </w:tc>
        <w:tc>
          <w:tcPr>
            <w:tcW w:w="4677" w:type="dxa"/>
            <w:tcBorders>
              <w:top w:val="single" w:sz="4" w:space="0" w:color="auto"/>
            </w:tcBorders>
          </w:tcPr>
          <w:p w14:paraId="6B0ADF7A" w14:textId="77777777" w:rsidR="0050573A" w:rsidRPr="0050573A" w:rsidRDefault="0050573A" w:rsidP="0050573A">
            <w:pPr>
              <w:pStyle w:val="a7"/>
              <w:numPr>
                <w:ilvl w:val="0"/>
                <w:numId w:val="36"/>
              </w:numPr>
              <w:spacing w:line="315" w:lineRule="exact"/>
              <w:ind w:leftChars="0" w:rightChars="50" w:right="120"/>
              <w:rPr>
                <w:rFonts w:ascii="Times New Roman" w:eastAsia="標楷體" w:hAnsi="Times New Roman" w:cs="Times New Roman"/>
              </w:rPr>
            </w:pPr>
            <w:r w:rsidRPr="00C25D99">
              <w:rPr>
                <w:rFonts w:ascii="Times New Roman" w:eastAsia="標楷體" w:hAnsi="Times New Roman" w:cs="Times New Roman" w:hint="eastAsia"/>
              </w:rPr>
              <w:t>有鑒於</w:t>
            </w:r>
            <w:r w:rsidRPr="0050573A">
              <w:rPr>
                <w:rFonts w:ascii="Times New Roman" w:eastAsia="標楷體" w:hAnsi="Times New Roman" w:cs="Times New Roman" w:hint="eastAsia"/>
              </w:rPr>
              <w:t>世界衛生組織建議及歐盟等先進國家推動病安經驗，多設有病人安全通報及學習系統</w:t>
            </w:r>
            <w:r w:rsidRPr="0050573A">
              <w:rPr>
                <w:rFonts w:ascii="Times New Roman" w:eastAsia="標楷體" w:hAnsi="Times New Roman" w:cs="Times New Roman"/>
              </w:rPr>
              <w:t>(reporting and learning system for patient safety incidents , RLS)</w:t>
            </w:r>
            <w:r w:rsidRPr="0050573A">
              <w:rPr>
                <w:rFonts w:ascii="Times New Roman" w:eastAsia="標楷體" w:hAnsi="Times New Roman" w:cs="Times New Roman" w:hint="eastAsia"/>
              </w:rPr>
              <w:t>，受理病家通報醫療事故，以共同學習提升病人安全。爰參考世衛組織不良事件通報及學習系統指引</w:t>
            </w:r>
            <w:r w:rsidRPr="0050573A">
              <w:rPr>
                <w:rFonts w:ascii="Times New Roman" w:eastAsia="標楷體" w:hAnsi="Times New Roman" w:cs="Times New Roman"/>
              </w:rPr>
              <w:t xml:space="preserve">(WHO draft guidelines </w:t>
            </w:r>
            <w:r w:rsidRPr="0050573A">
              <w:rPr>
                <w:sz w:val="23"/>
                <w:szCs w:val="23"/>
              </w:rPr>
              <w:t>for Adverse Event Reporting and Learning Systems</w:t>
            </w:r>
            <w:r w:rsidRPr="0050573A">
              <w:rPr>
                <w:rFonts w:ascii="Times New Roman" w:eastAsia="標楷體" w:hAnsi="Times New Roman" w:cs="Times New Roman"/>
              </w:rPr>
              <w:t>)</w:t>
            </w:r>
            <w:r w:rsidRPr="0050573A">
              <w:rPr>
                <w:rFonts w:ascii="Times New Roman" w:eastAsia="標楷體" w:hAnsi="Times New Roman" w:cs="Times New Roman" w:hint="eastAsia"/>
              </w:rPr>
              <w:t>、歐盟病人安全與醫療品質工作小組等建議，立法明訂設置除錯學習、不責難的病人安全通報及學習系統。</w:t>
            </w:r>
          </w:p>
          <w:p w14:paraId="28B6A2CE" w14:textId="163E0206" w:rsidR="00CD6133" w:rsidRPr="0050573A" w:rsidRDefault="0050573A" w:rsidP="0050573A">
            <w:pPr>
              <w:pStyle w:val="a7"/>
              <w:numPr>
                <w:ilvl w:val="0"/>
                <w:numId w:val="36"/>
              </w:numPr>
              <w:spacing w:line="315" w:lineRule="exact"/>
              <w:ind w:leftChars="0" w:rightChars="50" w:right="120"/>
              <w:rPr>
                <w:rFonts w:ascii="標楷體" w:eastAsia="標楷體" w:hAnsi="標楷體"/>
                <w:color w:val="000000"/>
                <w:szCs w:val="24"/>
              </w:rPr>
            </w:pPr>
            <w:r w:rsidRPr="0050573A">
              <w:rPr>
                <w:rFonts w:ascii="Times New Roman" w:eastAsia="標楷體" w:hAnsi="Times New Roman" w:cs="Times New Roman" w:hint="eastAsia"/>
              </w:rPr>
              <w:t>為落實本法預防醫療事故之立法宗旨，強化醫療機構通報及關懷責任，爰訂定比對查核之規定</w:t>
            </w:r>
            <w:r w:rsidR="00322F3A" w:rsidRPr="0050573A">
              <w:rPr>
                <w:rFonts w:ascii="標楷體" w:eastAsia="標楷體" w:hAnsi="標楷體" w:hint="eastAsia"/>
                <w:color w:val="000000"/>
                <w:szCs w:val="24"/>
              </w:rPr>
              <w:t>，並作為主管機關查核院內關懷與機構通報之基礎，以期及早化解爭議。</w:t>
            </w:r>
          </w:p>
        </w:tc>
      </w:tr>
      <w:tr w:rsidR="0081540D" w:rsidRPr="00076962" w14:paraId="275420D6" w14:textId="77777777" w:rsidTr="00CD6133">
        <w:tc>
          <w:tcPr>
            <w:tcW w:w="4676" w:type="dxa"/>
            <w:tcBorders>
              <w:bottom w:val="single" w:sz="4" w:space="0" w:color="auto"/>
            </w:tcBorders>
          </w:tcPr>
          <w:p w14:paraId="228F9F1A" w14:textId="77777777" w:rsidR="0081540D" w:rsidRPr="00C80E22" w:rsidRDefault="0081540D" w:rsidP="0081540D">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第三十二條　主管機關對發生醫療事故或醫療爭議之醫療機構，</w:t>
            </w:r>
            <w:r w:rsidRPr="00322F3A">
              <w:rPr>
                <w:rFonts w:ascii="標楷體" w:eastAsia="標楷體" w:hAnsi="標楷體" w:hint="eastAsia"/>
                <w:b/>
                <w:color w:val="FF0000"/>
                <w:szCs w:val="24"/>
              </w:rPr>
              <w:t>得</w:t>
            </w:r>
            <w:r w:rsidRPr="00C80E22">
              <w:rPr>
                <w:rFonts w:ascii="標楷體" w:eastAsia="標楷體" w:hAnsi="標楷體" w:hint="eastAsia"/>
                <w:color w:val="000000" w:themeColor="text1"/>
                <w:szCs w:val="24"/>
              </w:rPr>
              <w:t>視需要令其限期分析發生原因，並提出檢討及改善方案。</w:t>
            </w:r>
          </w:p>
          <w:p w14:paraId="19F49180" w14:textId="7AD75C4B" w:rsidR="0081540D" w:rsidRPr="00C80E22" w:rsidRDefault="0081540D" w:rsidP="0081540D">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主管機關</w:t>
            </w:r>
            <w:r w:rsidRPr="00322F3A">
              <w:rPr>
                <w:rFonts w:ascii="標楷體" w:eastAsia="標楷體" w:hAnsi="標楷體" w:hint="eastAsia"/>
                <w:b/>
                <w:color w:val="FF0000"/>
                <w:szCs w:val="24"/>
              </w:rPr>
              <w:t>得</w:t>
            </w:r>
            <w:r w:rsidRPr="00C80E22">
              <w:rPr>
                <w:rFonts w:ascii="標楷體" w:eastAsia="標楷體" w:hAnsi="標楷體" w:hint="eastAsia"/>
                <w:color w:val="000000" w:themeColor="text1"/>
                <w:szCs w:val="24"/>
              </w:rPr>
              <w:t>於前條第二項通報或前項提出檢討及改善方案後一年內，查察改善方案之執行。</w:t>
            </w:r>
          </w:p>
        </w:tc>
        <w:tc>
          <w:tcPr>
            <w:tcW w:w="4676" w:type="dxa"/>
          </w:tcPr>
          <w:p w14:paraId="3F9B5333" w14:textId="77777777" w:rsidR="00525619" w:rsidRPr="00227CAD" w:rsidRDefault="00525619" w:rsidP="00525619">
            <w:pPr>
              <w:ind w:left="238" w:hanging="238"/>
              <w:jc w:val="both"/>
              <w:rPr>
                <w:rFonts w:ascii="Times New Roman" w:eastAsia="標楷體" w:hAnsi="Times New Roman"/>
              </w:rPr>
            </w:pPr>
            <w:r w:rsidRPr="00227CAD">
              <w:rPr>
                <w:rFonts w:ascii="Times New Roman" w:eastAsia="標楷體" w:hAnsi="Times New Roman" w:hint="eastAsia"/>
              </w:rPr>
              <w:t>第三十二條　主管機關對發生醫療事故之醫療機構，</w:t>
            </w:r>
            <w:r w:rsidRPr="00227CAD">
              <w:rPr>
                <w:rFonts w:ascii="標楷體" w:eastAsia="標楷體" w:hAnsi="標楷體" w:hint="eastAsia"/>
                <w:b/>
                <w:color w:val="E36C0A" w:themeColor="accent6" w:themeShade="BF"/>
                <w:szCs w:val="24"/>
                <w:u w:val="single"/>
              </w:rPr>
              <w:t>應</w:t>
            </w:r>
            <w:r w:rsidRPr="00227CAD">
              <w:rPr>
                <w:rFonts w:ascii="Times New Roman" w:eastAsia="標楷體" w:hAnsi="Times New Roman" w:hint="eastAsia"/>
              </w:rPr>
              <w:t>視需要令其限期分析發生原因，並提出檢討及改善方案。</w:t>
            </w:r>
          </w:p>
          <w:p w14:paraId="567E90B3" w14:textId="11732B78" w:rsidR="0081540D" w:rsidRPr="00055449" w:rsidRDefault="00525619" w:rsidP="00525619">
            <w:pPr>
              <w:ind w:left="238" w:firstLineChars="202" w:firstLine="485"/>
              <w:jc w:val="both"/>
              <w:rPr>
                <w:rFonts w:ascii="Times New Roman" w:eastAsia="標楷體" w:hAnsi="Times New Roman"/>
              </w:rPr>
            </w:pPr>
            <w:r w:rsidRPr="00227CAD">
              <w:rPr>
                <w:rFonts w:ascii="Times New Roman" w:eastAsia="標楷體" w:hAnsi="Times New Roman" w:hint="eastAsia"/>
              </w:rPr>
              <w:t>主管機關</w:t>
            </w:r>
            <w:r w:rsidRPr="00322F3A">
              <w:rPr>
                <w:rFonts w:ascii="標楷體" w:eastAsia="標楷體" w:hAnsi="標楷體" w:hint="eastAsia"/>
                <w:b/>
                <w:color w:val="E36C0A" w:themeColor="accent6" w:themeShade="BF"/>
                <w:szCs w:val="24"/>
                <w:u w:val="single"/>
              </w:rPr>
              <w:t>應</w:t>
            </w:r>
            <w:r w:rsidRPr="00227CAD">
              <w:rPr>
                <w:rFonts w:ascii="Times New Roman" w:eastAsia="標楷體" w:hAnsi="Times New Roman" w:hint="eastAsia"/>
              </w:rPr>
              <w:t>於前條</w:t>
            </w:r>
            <w:r w:rsidR="00322F3A" w:rsidRPr="00C80E22">
              <w:rPr>
                <w:rFonts w:ascii="標楷體" w:eastAsia="標楷體" w:hAnsi="標楷體" w:hint="eastAsia"/>
                <w:color w:val="000000" w:themeColor="text1"/>
                <w:szCs w:val="24"/>
              </w:rPr>
              <w:t>第二項</w:t>
            </w:r>
            <w:r w:rsidRPr="00227CAD">
              <w:rPr>
                <w:rFonts w:ascii="Times New Roman" w:eastAsia="標楷體" w:hAnsi="Times New Roman" w:hint="eastAsia"/>
              </w:rPr>
              <w:t>通報或前項提出檢討及改善方案後</w:t>
            </w:r>
            <w:r w:rsidRPr="0081540D">
              <w:rPr>
                <w:rFonts w:ascii="標楷體" w:eastAsia="標楷體" w:hAnsi="標楷體" w:hint="eastAsia"/>
                <w:b/>
                <w:color w:val="E36C0A" w:themeColor="accent6" w:themeShade="BF"/>
                <w:szCs w:val="24"/>
                <w:u w:val="single"/>
              </w:rPr>
              <w:t>半</w:t>
            </w:r>
            <w:r w:rsidRPr="00227CAD">
              <w:rPr>
                <w:rFonts w:ascii="Times New Roman" w:eastAsia="標楷體" w:hAnsi="Times New Roman" w:hint="eastAsia"/>
              </w:rPr>
              <w:t>年內，查察改善方案之執行。</w:t>
            </w:r>
          </w:p>
        </w:tc>
        <w:tc>
          <w:tcPr>
            <w:tcW w:w="4677" w:type="dxa"/>
          </w:tcPr>
          <w:p w14:paraId="3A60E8E8" w14:textId="67EBE4A0" w:rsidR="00ED7EDD" w:rsidRPr="007708D1" w:rsidRDefault="00322F3A" w:rsidP="007708D1">
            <w:pPr>
              <w:pStyle w:val="a7"/>
              <w:numPr>
                <w:ilvl w:val="0"/>
                <w:numId w:val="35"/>
              </w:numPr>
              <w:tabs>
                <w:tab w:val="left" w:pos="413"/>
              </w:tabs>
              <w:ind w:leftChars="0"/>
              <w:rPr>
                <w:rFonts w:ascii="標楷體" w:eastAsia="標楷體" w:hAnsi="標楷體" w:hint="eastAsia"/>
                <w:color w:val="000000"/>
                <w:szCs w:val="24"/>
              </w:rPr>
            </w:pPr>
            <w:r w:rsidRPr="007708D1">
              <w:rPr>
                <w:rFonts w:ascii="標楷體" w:eastAsia="標楷體" w:hAnsi="標楷體" w:hint="eastAsia"/>
                <w:color w:val="000000"/>
                <w:szCs w:val="24"/>
              </w:rPr>
              <w:t>明定主管機關主動應為之職責(</w:t>
            </w:r>
            <w:r w:rsidR="00ED7EDD" w:rsidRPr="007708D1">
              <w:rPr>
                <w:rFonts w:ascii="標楷體" w:eastAsia="標楷體" w:hAnsi="標楷體"/>
                <w:color w:val="000000"/>
                <w:szCs w:val="24"/>
              </w:rPr>
              <w:t>“</w:t>
            </w:r>
            <w:r w:rsidRPr="007708D1">
              <w:rPr>
                <w:rFonts w:ascii="標楷體" w:eastAsia="標楷體" w:hAnsi="標楷體" w:hint="eastAsia"/>
                <w:color w:val="000000"/>
                <w:szCs w:val="24"/>
              </w:rPr>
              <w:t>得</w:t>
            </w:r>
            <w:r w:rsidR="00ED7EDD" w:rsidRPr="007708D1">
              <w:rPr>
                <w:rFonts w:ascii="標楷體" w:eastAsia="標楷體" w:hAnsi="標楷體"/>
                <w:color w:val="000000"/>
                <w:szCs w:val="24"/>
              </w:rPr>
              <w:t>”</w:t>
            </w:r>
            <w:r w:rsidRPr="007708D1">
              <w:rPr>
                <w:rFonts w:ascii="標楷體" w:eastAsia="標楷體" w:hAnsi="標楷體" w:hint="eastAsia"/>
                <w:color w:val="000000"/>
                <w:szCs w:val="24"/>
              </w:rPr>
              <w:t>改</w:t>
            </w:r>
            <w:r w:rsidR="00ED7EDD" w:rsidRPr="007708D1">
              <w:rPr>
                <w:rFonts w:ascii="標楷體" w:eastAsia="標楷體" w:hAnsi="標楷體" w:hint="eastAsia"/>
                <w:color w:val="000000"/>
                <w:szCs w:val="24"/>
              </w:rPr>
              <w:t>成</w:t>
            </w:r>
            <w:r w:rsidR="00ED7EDD" w:rsidRPr="007708D1">
              <w:rPr>
                <w:rFonts w:ascii="標楷體" w:eastAsia="標楷體" w:hAnsi="標楷體"/>
                <w:color w:val="000000"/>
                <w:szCs w:val="24"/>
              </w:rPr>
              <w:t>”</w:t>
            </w:r>
            <w:r w:rsidR="00ED7EDD" w:rsidRPr="007708D1">
              <w:rPr>
                <w:rFonts w:ascii="標楷體" w:eastAsia="標楷體" w:hAnsi="標楷體" w:hint="eastAsia"/>
                <w:color w:val="000000"/>
                <w:szCs w:val="24"/>
              </w:rPr>
              <w:t>應</w:t>
            </w:r>
            <w:r w:rsidR="00ED7EDD" w:rsidRPr="007708D1">
              <w:rPr>
                <w:rFonts w:ascii="標楷體" w:eastAsia="標楷體" w:hAnsi="標楷體"/>
                <w:color w:val="000000"/>
                <w:szCs w:val="24"/>
              </w:rPr>
              <w:t>”</w:t>
            </w:r>
            <w:r w:rsidR="00ED7EDD" w:rsidRPr="007708D1">
              <w:rPr>
                <w:rFonts w:ascii="標楷體" w:eastAsia="標楷體" w:hAnsi="標楷體" w:hint="eastAsia"/>
                <w:color w:val="000000"/>
                <w:szCs w:val="24"/>
              </w:rPr>
              <w:t>)。</w:t>
            </w:r>
          </w:p>
          <w:p w14:paraId="50820705" w14:textId="5CA98B77" w:rsidR="0081540D" w:rsidRPr="007708D1" w:rsidRDefault="00322F3A" w:rsidP="007708D1">
            <w:pPr>
              <w:pStyle w:val="a7"/>
              <w:numPr>
                <w:ilvl w:val="0"/>
                <w:numId w:val="35"/>
              </w:numPr>
              <w:tabs>
                <w:tab w:val="left" w:pos="413"/>
              </w:tabs>
              <w:ind w:leftChars="0"/>
              <w:rPr>
                <w:rFonts w:ascii="標楷體" w:eastAsia="標楷體" w:hAnsi="標楷體"/>
                <w:color w:val="000000"/>
                <w:szCs w:val="24"/>
              </w:rPr>
            </w:pPr>
            <w:r w:rsidRPr="007708D1">
              <w:rPr>
                <w:rFonts w:ascii="標楷體" w:eastAsia="標楷體" w:hAnsi="標楷體" w:hint="eastAsia"/>
                <w:color w:val="000000"/>
                <w:szCs w:val="24"/>
              </w:rPr>
              <w:t>將追蹤檢討時間縮短為半年，以符主動及時確保病人安全之原則</w:t>
            </w:r>
            <w:r w:rsidR="00ED7EDD" w:rsidRPr="007708D1">
              <w:rPr>
                <w:rFonts w:ascii="標楷體" w:eastAsia="標楷體" w:hAnsi="標楷體" w:hint="eastAsia"/>
                <w:color w:val="000000"/>
                <w:szCs w:val="24"/>
              </w:rPr>
              <w:t>(以新竹馬偕疫苗錯誤事件為例，拖到1年後才去查改善情形，恐難讓各界接受)</w:t>
            </w:r>
            <w:r w:rsidRPr="007708D1">
              <w:rPr>
                <w:rFonts w:ascii="標楷體" w:eastAsia="標楷體" w:hAnsi="標楷體" w:hint="eastAsia"/>
                <w:color w:val="000000"/>
                <w:szCs w:val="24"/>
              </w:rPr>
              <w:t>。</w:t>
            </w:r>
          </w:p>
        </w:tc>
      </w:tr>
      <w:tr w:rsidR="0081540D" w:rsidRPr="00076962" w14:paraId="30B6CD0E" w14:textId="06B26852" w:rsidTr="00CD6133">
        <w:tc>
          <w:tcPr>
            <w:tcW w:w="4676" w:type="dxa"/>
            <w:tcBorders>
              <w:bottom w:val="single" w:sz="4" w:space="0" w:color="auto"/>
            </w:tcBorders>
          </w:tcPr>
          <w:p w14:paraId="4E920261" w14:textId="77777777" w:rsidR="0081540D" w:rsidRPr="00C80E22" w:rsidRDefault="0081540D" w:rsidP="0081540D">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第三十三條　中央主管機關認定之嚴重醫療事故，應自行或委託具醫事專業之財團法人、機構或團體成立專案小組進行調查，並提出報告後公布之。</w:t>
            </w:r>
          </w:p>
          <w:p w14:paraId="527211B0" w14:textId="77777777" w:rsidR="0081540D" w:rsidRPr="00C80E22" w:rsidRDefault="0081540D" w:rsidP="0081540D">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前項專案調查，得通知醫療事故有關人員到場說明及提供資料，被調查之醫療機構、法人、團體或有關人員，不得規避、妨礙或拒絕。</w:t>
            </w:r>
          </w:p>
          <w:p w14:paraId="7D1D6D97" w14:textId="77777777" w:rsidR="0081540D" w:rsidRPr="00C80E22" w:rsidRDefault="0081540D" w:rsidP="0081540D">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第一項嚴重醫療事故之認定、專案小組之組成、運作方式及其他應遵行事項之辦法，由中央主管機關定之。</w:t>
            </w:r>
          </w:p>
          <w:p w14:paraId="6E7E9DFE" w14:textId="6D024632" w:rsidR="0081540D" w:rsidRPr="00C80E22" w:rsidRDefault="0081540D" w:rsidP="0081540D">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第一項調查報告之公布應符合個人資料保護法之規定及共同學習之原則，並遵守保密規定。</w:t>
            </w:r>
          </w:p>
        </w:tc>
        <w:tc>
          <w:tcPr>
            <w:tcW w:w="4676" w:type="dxa"/>
          </w:tcPr>
          <w:p w14:paraId="2CEC6CAA" w14:textId="77777777" w:rsidR="0050573A" w:rsidRDefault="00525619" w:rsidP="00525619">
            <w:pPr>
              <w:ind w:left="238" w:hanging="238"/>
              <w:jc w:val="both"/>
              <w:rPr>
                <w:rFonts w:ascii="標楷體" w:eastAsia="標楷體" w:hAnsi="標楷體" w:hint="eastAsia"/>
                <w:b/>
                <w:color w:val="E36C0A" w:themeColor="accent6" w:themeShade="BF"/>
                <w:szCs w:val="24"/>
                <w:u w:val="single"/>
              </w:rPr>
            </w:pPr>
            <w:r w:rsidRPr="00227CAD">
              <w:rPr>
                <w:rFonts w:ascii="Times New Roman" w:eastAsia="標楷體" w:hAnsi="Times New Roman" w:hint="eastAsia"/>
              </w:rPr>
              <w:t>第三十三條　中央主管機關認定之嚴重醫療事故，</w:t>
            </w:r>
            <w:r w:rsidRPr="00227CAD">
              <w:rPr>
                <w:rFonts w:ascii="標楷體" w:eastAsia="標楷體" w:hAnsi="標楷體" w:hint="eastAsia"/>
                <w:b/>
                <w:color w:val="E36C0A" w:themeColor="accent6" w:themeShade="BF"/>
                <w:szCs w:val="24"/>
                <w:u w:val="single"/>
              </w:rPr>
              <w:t>醫療機構應於二十四小時內通報</w:t>
            </w:r>
            <w:r w:rsidR="0050573A">
              <w:rPr>
                <w:rFonts w:ascii="標楷體" w:eastAsia="標楷體" w:hAnsi="標楷體" w:hint="eastAsia"/>
                <w:b/>
                <w:color w:val="E36C0A" w:themeColor="accent6" w:themeShade="BF"/>
                <w:szCs w:val="24"/>
                <w:u w:val="single"/>
              </w:rPr>
              <w:t>。</w:t>
            </w:r>
          </w:p>
          <w:p w14:paraId="0B5A6DCE" w14:textId="77777777" w:rsidR="0050573A" w:rsidRPr="00BD68E0" w:rsidRDefault="0050573A" w:rsidP="0032704F">
            <w:pPr>
              <w:spacing w:line="315" w:lineRule="exact"/>
              <w:ind w:leftChars="119" w:left="286" w:rightChars="50" w:right="120" w:firstLineChars="176" w:firstLine="423"/>
              <w:rPr>
                <w:rFonts w:ascii="Times New Roman" w:eastAsia="標楷體" w:hAnsi="Times New Roman" w:cs="Times New Roman"/>
              </w:rPr>
            </w:pPr>
            <w:r w:rsidRPr="0032704F">
              <w:rPr>
                <w:rFonts w:ascii="標楷體" w:eastAsia="標楷體" w:hAnsi="標楷體"/>
                <w:b/>
                <w:color w:val="E36C0A" w:themeColor="accent6" w:themeShade="BF"/>
                <w:szCs w:val="24"/>
                <w:u w:val="single"/>
              </w:rPr>
              <w:t>中央主管機關</w:t>
            </w:r>
            <w:r w:rsidRPr="0032704F">
              <w:rPr>
                <w:rFonts w:ascii="標楷體" w:eastAsia="標楷體" w:hAnsi="標楷體" w:hint="eastAsia"/>
                <w:b/>
                <w:color w:val="E36C0A" w:themeColor="accent6" w:themeShade="BF"/>
                <w:szCs w:val="24"/>
                <w:u w:val="single"/>
              </w:rPr>
              <w:t>於接獲前項通報或得知嚴重醫療事故後，</w:t>
            </w:r>
            <w:r w:rsidRPr="0032704F">
              <w:rPr>
                <w:rFonts w:ascii="Times New Roman" w:eastAsia="標楷體" w:hAnsi="Times New Roman" w:hint="eastAsia"/>
              </w:rPr>
              <w:t>應</w:t>
            </w:r>
            <w:r w:rsidRPr="0032704F">
              <w:rPr>
                <w:rFonts w:ascii="標楷體" w:eastAsia="標楷體" w:hAnsi="標楷體"/>
                <w:b/>
                <w:color w:val="E36C0A" w:themeColor="accent6" w:themeShade="BF"/>
                <w:szCs w:val="24"/>
                <w:u w:val="single"/>
              </w:rPr>
              <w:t>立即</w:t>
            </w:r>
            <w:r w:rsidRPr="0032704F">
              <w:rPr>
                <w:rFonts w:ascii="Times New Roman" w:eastAsia="標楷體" w:hAnsi="Times New Roman"/>
              </w:rPr>
              <w:t>成立專案小組進行調查，並</w:t>
            </w:r>
            <w:r w:rsidRPr="0032704F">
              <w:rPr>
                <w:rFonts w:ascii="標楷體" w:eastAsia="標楷體" w:hAnsi="標楷體"/>
                <w:b/>
                <w:color w:val="E36C0A" w:themeColor="accent6" w:themeShade="BF"/>
                <w:szCs w:val="24"/>
                <w:u w:val="single"/>
              </w:rPr>
              <w:t>由社會公正人士擔任專案小組之召集人</w:t>
            </w:r>
            <w:r w:rsidRPr="0032704F">
              <w:rPr>
                <w:rFonts w:ascii="標楷體" w:eastAsia="標楷體" w:hAnsi="標楷體" w:hint="eastAsia"/>
                <w:b/>
                <w:color w:val="E36C0A" w:themeColor="accent6" w:themeShade="BF"/>
                <w:szCs w:val="24"/>
                <w:u w:val="single"/>
              </w:rPr>
              <w:t>，</w:t>
            </w:r>
            <w:r w:rsidRPr="0032704F">
              <w:rPr>
                <w:rFonts w:ascii="標楷體" w:eastAsia="標楷體" w:hAnsi="標楷體"/>
                <w:b/>
                <w:color w:val="E36C0A" w:themeColor="accent6" w:themeShade="BF"/>
                <w:szCs w:val="24"/>
                <w:u w:val="single"/>
              </w:rPr>
              <w:t>於三個月內</w:t>
            </w:r>
            <w:r w:rsidRPr="0032704F">
              <w:rPr>
                <w:rFonts w:ascii="Times New Roman" w:eastAsia="標楷體" w:hAnsi="Times New Roman"/>
              </w:rPr>
              <w:t>提出</w:t>
            </w:r>
            <w:r w:rsidRPr="0032704F">
              <w:rPr>
                <w:rFonts w:ascii="標楷體" w:eastAsia="標楷體" w:hAnsi="標楷體"/>
                <w:b/>
                <w:color w:val="E36C0A" w:themeColor="accent6" w:themeShade="BF"/>
                <w:szCs w:val="24"/>
                <w:u w:val="single"/>
              </w:rPr>
              <w:t>根本原因分析</w:t>
            </w:r>
            <w:r w:rsidRPr="0032704F">
              <w:rPr>
                <w:rFonts w:ascii="Times New Roman" w:eastAsia="標楷體" w:hAnsi="Times New Roman"/>
              </w:rPr>
              <w:t>報告後公布之</w:t>
            </w:r>
            <w:r w:rsidRPr="0032704F">
              <w:rPr>
                <w:rFonts w:ascii="Times New Roman" w:eastAsia="標楷體" w:hAnsi="Times New Roman" w:hint="eastAsia"/>
              </w:rPr>
              <w:t>。</w:t>
            </w:r>
          </w:p>
          <w:p w14:paraId="5A0D2913" w14:textId="77777777" w:rsidR="00525619" w:rsidRPr="00227CAD" w:rsidRDefault="00525619" w:rsidP="00525619">
            <w:pPr>
              <w:ind w:left="238" w:firstLineChars="202" w:firstLine="485"/>
              <w:jc w:val="both"/>
              <w:rPr>
                <w:rFonts w:ascii="標楷體" w:eastAsia="標楷體" w:hAnsi="標楷體"/>
                <w:szCs w:val="24"/>
              </w:rPr>
            </w:pPr>
            <w:r w:rsidRPr="00227CAD">
              <w:rPr>
                <w:rFonts w:ascii="標楷體" w:eastAsia="標楷體" w:hAnsi="標楷體" w:hint="eastAsia"/>
                <w:szCs w:val="24"/>
              </w:rPr>
              <w:t>前項專案調查</w:t>
            </w:r>
            <w:r w:rsidRPr="00227CAD">
              <w:rPr>
                <w:rFonts w:ascii="標楷體" w:eastAsia="標楷體" w:hAnsi="標楷體" w:hint="eastAsia"/>
                <w:b/>
                <w:color w:val="E36C0A" w:themeColor="accent6" w:themeShade="BF"/>
                <w:szCs w:val="24"/>
                <w:u w:val="single"/>
              </w:rPr>
              <w:t>小組，應為必要之調查或</w:t>
            </w:r>
            <w:r w:rsidRPr="00227CAD">
              <w:rPr>
                <w:rFonts w:ascii="標楷體" w:eastAsia="標楷體" w:hAnsi="標楷體" w:hint="eastAsia"/>
                <w:szCs w:val="24"/>
              </w:rPr>
              <w:t>得通知醫療事故有關人員到場說明及提供資料，被調查之醫療機構、法人、團體或有關人員，不得規避、妨礙或拒絕。</w:t>
            </w:r>
          </w:p>
          <w:p w14:paraId="45ED9113" w14:textId="77777777" w:rsidR="00525619" w:rsidRDefault="00525619" w:rsidP="00525619">
            <w:pPr>
              <w:ind w:left="238" w:firstLineChars="202" w:firstLine="485"/>
              <w:jc w:val="both"/>
              <w:rPr>
                <w:rFonts w:ascii="標楷體" w:eastAsia="標楷體" w:hAnsi="標楷體" w:hint="eastAsia"/>
                <w:szCs w:val="24"/>
              </w:rPr>
            </w:pPr>
            <w:r w:rsidRPr="00227CAD">
              <w:rPr>
                <w:rFonts w:ascii="標楷體" w:eastAsia="標楷體" w:hAnsi="標楷體" w:hint="eastAsia"/>
                <w:szCs w:val="24"/>
              </w:rPr>
              <w:t>第一項嚴重醫療事故之認定、</w:t>
            </w:r>
            <w:r w:rsidRPr="00227CAD">
              <w:rPr>
                <w:rFonts w:ascii="標楷體" w:eastAsia="標楷體" w:hAnsi="標楷體" w:hint="eastAsia"/>
                <w:b/>
                <w:color w:val="E36C0A" w:themeColor="accent6" w:themeShade="BF"/>
                <w:szCs w:val="24"/>
                <w:u w:val="single"/>
              </w:rPr>
              <w:t>通報方式、</w:t>
            </w:r>
            <w:r w:rsidRPr="00227CAD">
              <w:rPr>
                <w:rFonts w:ascii="標楷體" w:eastAsia="標楷體" w:hAnsi="標楷體" w:hint="eastAsia"/>
                <w:szCs w:val="24"/>
              </w:rPr>
              <w:t>專案小組之組成、運作方式</w:t>
            </w:r>
            <w:r w:rsidRPr="00227CAD">
              <w:rPr>
                <w:rFonts w:ascii="標楷體" w:eastAsia="標楷體" w:hAnsi="標楷體" w:hint="eastAsia"/>
                <w:b/>
                <w:color w:val="E36C0A" w:themeColor="accent6" w:themeShade="BF"/>
                <w:szCs w:val="24"/>
                <w:u w:val="single"/>
              </w:rPr>
              <w:t>、報告完成期限及其他應遵行事項之辦法，</w:t>
            </w:r>
            <w:r w:rsidRPr="00227CAD">
              <w:rPr>
                <w:rFonts w:ascii="標楷體" w:eastAsia="標楷體" w:hAnsi="標楷體" w:hint="eastAsia"/>
                <w:szCs w:val="24"/>
              </w:rPr>
              <w:t>由中央主管機關</w:t>
            </w:r>
            <w:r w:rsidRPr="00227CAD">
              <w:rPr>
                <w:rFonts w:ascii="標楷體" w:eastAsia="標楷體" w:hAnsi="標楷體" w:hint="eastAsia"/>
                <w:b/>
                <w:color w:val="E36C0A" w:themeColor="accent6" w:themeShade="BF"/>
                <w:szCs w:val="24"/>
                <w:u w:val="single"/>
              </w:rPr>
              <w:t>定之擬訂，報請行政院核定</w:t>
            </w:r>
            <w:r w:rsidRPr="00227CAD">
              <w:rPr>
                <w:rFonts w:ascii="標楷體" w:eastAsia="標楷體" w:hAnsi="標楷體" w:hint="eastAsia"/>
                <w:szCs w:val="24"/>
              </w:rPr>
              <w:t>。</w:t>
            </w:r>
          </w:p>
          <w:p w14:paraId="266FC044" w14:textId="282FC2FA" w:rsidR="00525619" w:rsidRPr="00227CAD" w:rsidRDefault="00525619" w:rsidP="00525619">
            <w:pPr>
              <w:ind w:left="238" w:firstLineChars="202" w:firstLine="485"/>
              <w:jc w:val="both"/>
              <w:rPr>
                <w:rFonts w:ascii="標楷體" w:eastAsia="標楷體" w:hAnsi="標楷體"/>
                <w:szCs w:val="24"/>
              </w:rPr>
            </w:pPr>
            <w:r w:rsidRPr="00227CAD">
              <w:rPr>
                <w:rFonts w:ascii="標楷體" w:eastAsia="標楷體" w:hAnsi="標楷體" w:hint="eastAsia"/>
                <w:szCs w:val="24"/>
              </w:rPr>
              <w:t>第一項公布應符合個人資料保護法之規定及共同學習之原則，並遵守保密規定</w:t>
            </w:r>
            <w:r w:rsidRPr="00227CAD">
              <w:rPr>
                <w:rFonts w:ascii="標楷體" w:eastAsia="標楷體" w:hAnsi="標楷體" w:hint="eastAsia"/>
                <w:b/>
                <w:color w:val="E36C0A" w:themeColor="accent6" w:themeShade="BF"/>
                <w:szCs w:val="24"/>
                <w:u w:val="single"/>
              </w:rPr>
              <w:t>；調查報告及相關文件，不得作為究責或訴訟之基礎</w:t>
            </w:r>
            <w:r w:rsidRPr="00227CAD">
              <w:rPr>
                <w:rFonts w:ascii="標楷體" w:eastAsia="標楷體" w:hAnsi="標楷體" w:hint="eastAsia"/>
                <w:szCs w:val="24"/>
              </w:rPr>
              <w:t>。</w:t>
            </w:r>
          </w:p>
          <w:p w14:paraId="6F051300" w14:textId="7A995096" w:rsidR="0081540D" w:rsidRPr="00525619" w:rsidRDefault="0081540D" w:rsidP="0081540D">
            <w:pPr>
              <w:ind w:left="238" w:firstLineChars="202" w:firstLine="485"/>
              <w:jc w:val="both"/>
              <w:rPr>
                <w:rFonts w:ascii="Times New Roman" w:eastAsia="標楷體" w:hAnsi="Times New Roman"/>
                <w:szCs w:val="24"/>
              </w:rPr>
            </w:pPr>
          </w:p>
        </w:tc>
        <w:tc>
          <w:tcPr>
            <w:tcW w:w="4677" w:type="dxa"/>
          </w:tcPr>
          <w:p w14:paraId="129FA9E2" w14:textId="3058FA47" w:rsidR="00ED7EDD" w:rsidRPr="0032704F" w:rsidRDefault="0032704F" w:rsidP="0032704F">
            <w:pPr>
              <w:pStyle w:val="a7"/>
              <w:numPr>
                <w:ilvl w:val="0"/>
                <w:numId w:val="38"/>
              </w:numPr>
              <w:tabs>
                <w:tab w:val="left" w:pos="413"/>
              </w:tabs>
              <w:spacing w:line="440" w:lineRule="exact"/>
              <w:ind w:leftChars="0"/>
              <w:rPr>
                <w:rFonts w:ascii="標楷體" w:eastAsia="標楷體" w:hAnsi="標楷體" w:hint="eastAsia"/>
                <w:color w:val="000000"/>
                <w:szCs w:val="24"/>
              </w:rPr>
            </w:pPr>
            <w:r w:rsidRPr="0032704F">
              <w:rPr>
                <w:rFonts w:ascii="標楷體" w:eastAsia="標楷體" w:hAnsi="標楷體" w:hint="eastAsia"/>
                <w:color w:val="000000"/>
                <w:szCs w:val="24"/>
              </w:rPr>
              <w:t>為落實分級分類、重點管理之病安原則，爰建議仿照香港及澳門做法，針對嚴重醫療事故(例如愛滋器捐案)，應明訂醫療機構應於24小時之內限時通報義務</w:t>
            </w:r>
            <w:r w:rsidRPr="0032704F">
              <w:rPr>
                <w:rFonts w:ascii="標楷體" w:eastAsia="標楷體" w:hAnsi="標楷體" w:hint="eastAsia"/>
              </w:rPr>
              <w:t>，</w:t>
            </w:r>
            <w:r>
              <w:rPr>
                <w:rFonts w:ascii="標楷體" w:eastAsia="標楷體" w:hAnsi="標楷體" w:hint="eastAsia"/>
              </w:rPr>
              <w:t>以期進一步啟動相關機制，</w:t>
            </w:r>
            <w:r w:rsidRPr="0032704F">
              <w:rPr>
                <w:rFonts w:ascii="標楷體" w:eastAsia="標楷體" w:hAnsi="標楷體" w:hint="eastAsia"/>
              </w:rPr>
              <w:t>盡量減少事件對病人的傷害，</w:t>
            </w:r>
            <w:r>
              <w:rPr>
                <w:rFonts w:ascii="標楷體" w:eastAsia="標楷體" w:hAnsi="標楷體" w:hint="eastAsia"/>
              </w:rPr>
              <w:t>並</w:t>
            </w:r>
            <w:r w:rsidRPr="0032704F">
              <w:rPr>
                <w:rFonts w:ascii="標楷體" w:eastAsia="標楷體" w:hAnsi="標楷體" w:hint="eastAsia"/>
              </w:rPr>
              <w:t>支援</w:t>
            </w:r>
            <w:r>
              <w:rPr>
                <w:rFonts w:ascii="標楷體" w:eastAsia="標楷體" w:hAnsi="標楷體" w:hint="eastAsia"/>
              </w:rPr>
              <w:t>關懷</w:t>
            </w:r>
            <w:r w:rsidRPr="0032704F">
              <w:rPr>
                <w:rFonts w:ascii="標楷體" w:eastAsia="標楷體" w:hAnsi="標楷體" w:hint="eastAsia"/>
              </w:rPr>
              <w:t>涉及事件的員工</w:t>
            </w:r>
            <w:r>
              <w:rPr>
                <w:rFonts w:ascii="標楷體" w:eastAsia="標楷體" w:hAnsi="標楷體" w:hint="eastAsia"/>
              </w:rPr>
              <w:t>，妥適處理重大事故。</w:t>
            </w:r>
          </w:p>
          <w:p w14:paraId="493DEED5" w14:textId="1244ED37" w:rsidR="00ED7EDD" w:rsidRPr="00DA2803" w:rsidRDefault="00ED7EDD" w:rsidP="007708D1">
            <w:pPr>
              <w:pStyle w:val="a7"/>
              <w:numPr>
                <w:ilvl w:val="0"/>
                <w:numId w:val="27"/>
              </w:numPr>
              <w:tabs>
                <w:tab w:val="left" w:pos="413"/>
              </w:tabs>
              <w:spacing w:line="440" w:lineRule="exact"/>
              <w:ind w:leftChars="1" w:left="431" w:hanging="429"/>
              <w:rPr>
                <w:rFonts w:ascii="標楷體" w:eastAsia="標楷體" w:hAnsi="標楷體"/>
                <w:color w:val="000000"/>
                <w:szCs w:val="24"/>
              </w:rPr>
            </w:pPr>
            <w:r w:rsidRPr="00DA2803">
              <w:rPr>
                <w:rFonts w:ascii="標楷體" w:eastAsia="標楷體" w:hAnsi="標楷體" w:hint="eastAsia"/>
                <w:color w:val="000000"/>
                <w:szCs w:val="24"/>
              </w:rPr>
              <w:t>有別於第32條有關</w:t>
            </w:r>
            <w:r w:rsidRPr="00DA2803">
              <w:rPr>
                <w:rFonts w:ascii="標楷體" w:eastAsia="標楷體" w:hAnsi="標楷體" w:hint="eastAsia"/>
                <w:color w:val="FF0000"/>
                <w:szCs w:val="24"/>
                <w:u w:val="single"/>
              </w:rPr>
              <w:t>重大</w:t>
            </w:r>
            <w:r w:rsidRPr="00DA2803">
              <w:rPr>
                <w:rFonts w:ascii="標楷體" w:eastAsia="標楷體" w:hAnsi="標楷體" w:hint="eastAsia"/>
                <w:color w:val="000000"/>
                <w:szCs w:val="24"/>
              </w:rPr>
              <w:t>醫療事故之根本原因分析是由醫院自己做之規定，特於本條明訂</w:t>
            </w:r>
            <w:r w:rsidRPr="00DA2803">
              <w:rPr>
                <w:rFonts w:ascii="標楷體" w:eastAsia="標楷體" w:hAnsi="標楷體" w:hint="eastAsia"/>
                <w:b/>
                <w:color w:val="E36C0A" w:themeColor="accent6" w:themeShade="BF"/>
                <w:szCs w:val="24"/>
                <w:u w:val="single"/>
              </w:rPr>
              <w:t>嚴重</w:t>
            </w:r>
            <w:r w:rsidRPr="00DA2803">
              <w:rPr>
                <w:rFonts w:ascii="標楷體" w:eastAsia="標楷體" w:hAnsi="標楷體" w:hint="eastAsia"/>
                <w:color w:val="000000"/>
                <w:szCs w:val="24"/>
              </w:rPr>
              <w:t>醫療事故之根本原因分析，應改由公正獨立之外部調查小組為之。</w:t>
            </w:r>
          </w:p>
          <w:p w14:paraId="6800446F" w14:textId="77777777" w:rsidR="00ED7EDD" w:rsidRPr="00DA2803" w:rsidRDefault="00ED7EDD" w:rsidP="007708D1">
            <w:pPr>
              <w:pStyle w:val="a7"/>
              <w:numPr>
                <w:ilvl w:val="0"/>
                <w:numId w:val="27"/>
              </w:numPr>
              <w:tabs>
                <w:tab w:val="left" w:pos="413"/>
              </w:tabs>
              <w:spacing w:line="440" w:lineRule="exact"/>
              <w:ind w:leftChars="1" w:left="431" w:hanging="429"/>
              <w:rPr>
                <w:rFonts w:ascii="標楷體" w:eastAsia="標楷體" w:hAnsi="標楷體"/>
                <w:color w:val="000000"/>
                <w:szCs w:val="24"/>
              </w:rPr>
            </w:pPr>
            <w:r w:rsidRPr="00DA2803">
              <w:rPr>
                <w:rFonts w:ascii="標楷體" w:eastAsia="標楷體" w:hAnsi="標楷體" w:hint="eastAsia"/>
                <w:color w:val="000000"/>
                <w:szCs w:val="24"/>
              </w:rPr>
              <w:t>為避免過去台大愛滋器捐事件之調查作業，遭質疑未公布完整「根本原因分析(RCA)」報告、未通知當事人到場說明澄清、政府球員兼裁判等問題，爰建議明訂相關規定。</w:t>
            </w:r>
          </w:p>
          <w:p w14:paraId="7BFBF4BB" w14:textId="77777777" w:rsidR="00DA2803" w:rsidRPr="00DA2803" w:rsidRDefault="00ED7EDD" w:rsidP="007708D1">
            <w:pPr>
              <w:pStyle w:val="HTML"/>
              <w:numPr>
                <w:ilvl w:val="0"/>
                <w:numId w:val="27"/>
              </w:numPr>
              <w:shd w:val="clear" w:color="auto" w:fill="FFFFFF"/>
              <w:tabs>
                <w:tab w:val="left" w:pos="413"/>
              </w:tabs>
              <w:snapToGrid w:val="0"/>
              <w:spacing w:line="480" w:lineRule="exact"/>
              <w:ind w:leftChars="1" w:left="431" w:hanging="429"/>
              <w:rPr>
                <w:rFonts w:ascii="標楷體" w:eastAsia="標楷體" w:hAnsi="標楷體" w:cstheme="minorBidi" w:hint="eastAsia"/>
                <w:color w:val="000000"/>
                <w:kern w:val="2"/>
              </w:rPr>
            </w:pPr>
            <w:r w:rsidRPr="00DA2803">
              <w:rPr>
                <w:rFonts w:ascii="標楷體" w:eastAsia="標楷體" w:hAnsi="標楷體" w:cstheme="minorBidi" w:hint="eastAsia"/>
                <w:color w:val="000000"/>
                <w:kern w:val="2"/>
              </w:rPr>
              <w:t>第三項授權中央主管機關擬訂相關辦法，包含：名額、產生方式、議事規範、代表利益之自我揭露及資訊公開等有關事項，由主管機關定之，報請行政院核定。</w:t>
            </w:r>
          </w:p>
          <w:p w14:paraId="48E03D04" w14:textId="0BE8923D" w:rsidR="0081540D" w:rsidRPr="00DA2803" w:rsidRDefault="00ED7EDD" w:rsidP="007708D1">
            <w:pPr>
              <w:pStyle w:val="HTML"/>
              <w:numPr>
                <w:ilvl w:val="0"/>
                <w:numId w:val="27"/>
              </w:numPr>
              <w:shd w:val="clear" w:color="auto" w:fill="FFFFFF"/>
              <w:tabs>
                <w:tab w:val="left" w:pos="413"/>
              </w:tabs>
              <w:snapToGrid w:val="0"/>
              <w:spacing w:line="480" w:lineRule="exact"/>
              <w:ind w:leftChars="1" w:left="431" w:hanging="429"/>
              <w:rPr>
                <w:rFonts w:ascii="標楷體" w:eastAsia="標楷體" w:hAnsi="標楷體" w:cstheme="minorBidi"/>
                <w:color w:val="000000"/>
                <w:kern w:val="2"/>
              </w:rPr>
            </w:pPr>
            <w:r w:rsidRPr="00DA2803">
              <w:rPr>
                <w:rFonts w:ascii="標楷體" w:eastAsia="標楷體" w:hAnsi="標楷體" w:hint="eastAsia"/>
                <w:color w:val="000000"/>
              </w:rPr>
              <w:t>明訂調查報告及相關文件，不得作為究責或訴訟之基礎，以保障醫界願意坦誠面對進行根本原因分析，作為避免再錯及共同學習之基礎，讓本法真正能達到預防醫療事故之實效。</w:t>
            </w:r>
          </w:p>
        </w:tc>
      </w:tr>
      <w:tr w:rsidR="0081540D" w:rsidRPr="00076962" w14:paraId="3F2DA30E" w14:textId="3ABCA60E" w:rsidTr="00CD6133">
        <w:tc>
          <w:tcPr>
            <w:tcW w:w="4676" w:type="dxa"/>
            <w:tcBorders>
              <w:top w:val="single" w:sz="4" w:space="0" w:color="auto"/>
              <w:left w:val="single" w:sz="4" w:space="0" w:color="auto"/>
              <w:bottom w:val="single" w:sz="4" w:space="0" w:color="auto"/>
              <w:right w:val="single" w:sz="4" w:space="0" w:color="auto"/>
            </w:tcBorders>
          </w:tcPr>
          <w:p w14:paraId="5A85C084" w14:textId="585A7710" w:rsidR="0081540D" w:rsidRPr="00C80E22" w:rsidRDefault="0081540D" w:rsidP="0081540D">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第三十四條　醫療機構就直轄市、縣（市）主管機關依第十九條第一項所為之要求為規避、妨礙、拒絕、作虛偽之證明、報告或陳述者，由該管主管機關處新臺幣五萬元以上二十五萬元以下罰鍰，並令其限期改善；屆期未改善者，得按次處罰。</w:t>
            </w:r>
          </w:p>
        </w:tc>
        <w:tc>
          <w:tcPr>
            <w:tcW w:w="4676" w:type="dxa"/>
            <w:tcBorders>
              <w:bottom w:val="single" w:sz="4" w:space="0" w:color="auto"/>
            </w:tcBorders>
          </w:tcPr>
          <w:p w14:paraId="0180A459" w14:textId="2B419EFC" w:rsidR="0081540D" w:rsidRPr="00055449" w:rsidRDefault="00525619" w:rsidP="0081540D">
            <w:pPr>
              <w:ind w:left="238" w:hanging="238"/>
              <w:jc w:val="both"/>
              <w:rPr>
                <w:rFonts w:ascii="Times New Roman" w:eastAsia="標楷體" w:hAnsi="Times New Roman"/>
                <w:szCs w:val="24"/>
              </w:rPr>
            </w:pPr>
            <w:r w:rsidRPr="0081540D">
              <w:rPr>
                <w:rFonts w:ascii="標楷體" w:eastAsia="標楷體" w:hAnsi="標楷體" w:hint="eastAsia"/>
                <w:szCs w:val="24"/>
              </w:rPr>
              <w:t>第三十四條　醫療機構</w:t>
            </w:r>
            <w:r w:rsidRPr="00495682">
              <w:rPr>
                <w:rFonts w:ascii="標楷體" w:eastAsia="標楷體" w:hAnsi="標楷體" w:hint="eastAsia"/>
                <w:b/>
                <w:color w:val="E36C0A" w:themeColor="accent6" w:themeShade="BF"/>
                <w:szCs w:val="24"/>
                <w:u w:val="single"/>
              </w:rPr>
              <w:t>違反</w:t>
            </w:r>
            <w:r w:rsidRPr="0081540D">
              <w:rPr>
                <w:rFonts w:ascii="標楷體" w:eastAsia="標楷體" w:hAnsi="標楷體" w:hint="eastAsia"/>
                <w:szCs w:val="24"/>
              </w:rPr>
              <w:t>第十九條第一項</w:t>
            </w:r>
            <w:r w:rsidRPr="00495682">
              <w:rPr>
                <w:rFonts w:ascii="標楷體" w:eastAsia="標楷體" w:hAnsi="標楷體" w:hint="eastAsia"/>
                <w:b/>
                <w:color w:val="E36C0A" w:themeColor="accent6" w:themeShade="BF"/>
                <w:szCs w:val="24"/>
                <w:u w:val="single"/>
              </w:rPr>
              <w:t>、第三十三條第一項</w:t>
            </w:r>
            <w:r w:rsidRPr="0081540D">
              <w:rPr>
                <w:rFonts w:ascii="標楷體" w:eastAsia="標楷體" w:hAnsi="標楷體" w:hint="eastAsia"/>
                <w:szCs w:val="24"/>
              </w:rPr>
              <w:t>者，由</w:t>
            </w:r>
            <w:r w:rsidRPr="00495682">
              <w:rPr>
                <w:rFonts w:ascii="標楷體" w:eastAsia="標楷體" w:hAnsi="標楷體" w:hint="eastAsia"/>
                <w:b/>
                <w:color w:val="E36C0A" w:themeColor="accent6" w:themeShade="BF"/>
                <w:szCs w:val="24"/>
                <w:u w:val="single"/>
              </w:rPr>
              <w:t>直轄市、縣（市）</w:t>
            </w:r>
            <w:r w:rsidRPr="0081540D">
              <w:rPr>
                <w:rFonts w:ascii="標楷體" w:eastAsia="標楷體" w:hAnsi="標楷體" w:hint="eastAsia"/>
                <w:szCs w:val="24"/>
              </w:rPr>
              <w:t>主管機關處新臺幣五萬元以上二十五萬元以下罰鍰，並令其限期改善；屆期未改善者，得按次處罰。</w:t>
            </w:r>
          </w:p>
        </w:tc>
        <w:tc>
          <w:tcPr>
            <w:tcW w:w="4677" w:type="dxa"/>
            <w:tcBorders>
              <w:bottom w:val="single" w:sz="4" w:space="0" w:color="auto"/>
            </w:tcBorders>
          </w:tcPr>
          <w:p w14:paraId="34B2EB9A" w14:textId="4253F2EE" w:rsidR="0081540D" w:rsidRPr="00DA2803" w:rsidRDefault="00DA2803" w:rsidP="007708D1">
            <w:pPr>
              <w:tabs>
                <w:tab w:val="left" w:pos="413"/>
              </w:tabs>
              <w:ind w:leftChars="1" w:left="2"/>
              <w:rPr>
                <w:rFonts w:ascii="標楷體" w:eastAsia="標楷體" w:hAnsi="標楷體"/>
                <w:szCs w:val="24"/>
              </w:rPr>
            </w:pPr>
            <w:r w:rsidRPr="00DA2803">
              <w:rPr>
                <w:rFonts w:ascii="標楷體" w:eastAsia="標楷體" w:hAnsi="標楷體" w:hint="eastAsia"/>
                <w:color w:val="000000"/>
                <w:szCs w:val="24"/>
              </w:rPr>
              <w:t>增訂醫療機構未於24小時內通報重醫療事故之罰則。</w:t>
            </w:r>
          </w:p>
        </w:tc>
      </w:tr>
      <w:tr w:rsidR="0081540D" w:rsidRPr="00076962" w14:paraId="75D7E3BA" w14:textId="7AC85030" w:rsidTr="00CD6133">
        <w:tc>
          <w:tcPr>
            <w:tcW w:w="4676" w:type="dxa"/>
          </w:tcPr>
          <w:p w14:paraId="293918CF" w14:textId="77777777" w:rsidR="0081540D" w:rsidRPr="00C80E22" w:rsidRDefault="0081540D" w:rsidP="0081540D">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第三十六條　醫療機構有下列情形之一者，由直轄市、縣（市）主管機關處新臺幣四萬元以上二十萬元以下罰鍰，並令其限期改善；屆期未改善者，得按次處罰：</w:t>
            </w:r>
          </w:p>
          <w:p w14:paraId="0E79911F" w14:textId="77777777" w:rsidR="0081540D" w:rsidRPr="00C80E22" w:rsidRDefault="0081540D" w:rsidP="0081540D">
            <w:pPr>
              <w:pStyle w:val="a7"/>
              <w:numPr>
                <w:ilvl w:val="0"/>
                <w:numId w:val="4"/>
              </w:numPr>
              <w:kinsoku w:val="0"/>
              <w:overflowPunct w:val="0"/>
              <w:autoSpaceDE w:val="0"/>
              <w:ind w:leftChars="98" w:left="737" w:hangingChars="209" w:hanging="502"/>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違反第三十一條第二項規定，未就重大醫療事故分析其根本原因、提出改善方案，並進行通報。</w:t>
            </w:r>
          </w:p>
          <w:p w14:paraId="50809ACB" w14:textId="68C11685" w:rsidR="0081540D" w:rsidRPr="00C80E22" w:rsidRDefault="0081540D" w:rsidP="00495682">
            <w:pPr>
              <w:pStyle w:val="a7"/>
              <w:numPr>
                <w:ilvl w:val="0"/>
                <w:numId w:val="4"/>
              </w:numPr>
              <w:kinsoku w:val="0"/>
              <w:overflowPunct w:val="0"/>
              <w:autoSpaceDE w:val="0"/>
              <w:ind w:leftChars="98" w:left="737" w:hangingChars="209" w:hanging="502"/>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違反第三十二條第一項規定，未於期限內提出檢討及改善方案。</w:t>
            </w:r>
          </w:p>
        </w:tc>
        <w:tc>
          <w:tcPr>
            <w:tcW w:w="4676" w:type="dxa"/>
          </w:tcPr>
          <w:p w14:paraId="3C0E1252" w14:textId="77777777" w:rsidR="00525619" w:rsidRPr="00495682" w:rsidRDefault="00525619" w:rsidP="00525619">
            <w:pPr>
              <w:ind w:left="238" w:hanging="238"/>
              <w:jc w:val="both"/>
              <w:rPr>
                <w:rFonts w:ascii="Times New Roman" w:eastAsia="標楷體" w:hAnsi="Times New Roman"/>
              </w:rPr>
            </w:pPr>
            <w:r w:rsidRPr="00495682">
              <w:rPr>
                <w:rFonts w:ascii="Times New Roman" w:eastAsia="標楷體" w:hAnsi="Times New Roman" w:hint="eastAsia"/>
              </w:rPr>
              <w:t>第三十六條　醫療機構有下列情形之一者，由直轄市、縣（市）主管機關處新台幣四萬元以上二十萬元以下罰鍰，並令其限期改善；屆期未改善者，得按次處罰：</w:t>
            </w:r>
          </w:p>
          <w:p w14:paraId="02E1A5D7" w14:textId="77777777" w:rsidR="00525619" w:rsidRPr="00495682" w:rsidRDefault="00525619" w:rsidP="00525619">
            <w:pPr>
              <w:pStyle w:val="a7"/>
              <w:numPr>
                <w:ilvl w:val="0"/>
                <w:numId w:val="12"/>
              </w:numPr>
              <w:kinsoku w:val="0"/>
              <w:overflowPunct w:val="0"/>
              <w:autoSpaceDE w:val="0"/>
              <w:ind w:leftChars="0"/>
              <w:jc w:val="both"/>
              <w:textAlignment w:val="center"/>
              <w:rPr>
                <w:rFonts w:ascii="標楷體" w:eastAsia="標楷體" w:hAnsi="標楷體"/>
                <w:szCs w:val="24"/>
              </w:rPr>
            </w:pPr>
            <w:r w:rsidRPr="00495682">
              <w:rPr>
                <w:rFonts w:ascii="標楷體" w:eastAsia="標楷體" w:hAnsi="標楷體" w:hint="eastAsia"/>
                <w:szCs w:val="24"/>
              </w:rPr>
              <w:t>違反第三十一條第一項規定，未就重大醫療事故分析其根本原因、提出改善方案，並進行通報。</w:t>
            </w:r>
          </w:p>
          <w:p w14:paraId="25A3D89D" w14:textId="77777777" w:rsidR="00525619" w:rsidRPr="00495682" w:rsidRDefault="00525619" w:rsidP="00525619">
            <w:pPr>
              <w:pStyle w:val="a7"/>
              <w:numPr>
                <w:ilvl w:val="0"/>
                <w:numId w:val="12"/>
              </w:numPr>
              <w:kinsoku w:val="0"/>
              <w:overflowPunct w:val="0"/>
              <w:autoSpaceDE w:val="0"/>
              <w:ind w:leftChars="0"/>
              <w:jc w:val="both"/>
              <w:textAlignment w:val="center"/>
              <w:rPr>
                <w:rFonts w:ascii="標楷體" w:eastAsia="標楷體" w:hAnsi="標楷體"/>
                <w:szCs w:val="24"/>
              </w:rPr>
            </w:pPr>
            <w:r w:rsidRPr="00495682">
              <w:rPr>
                <w:rFonts w:ascii="標楷體" w:eastAsia="標楷體" w:hAnsi="標楷體" w:hint="eastAsia"/>
                <w:szCs w:val="24"/>
              </w:rPr>
              <w:t>違反第三十二條第一項規定，未於期限內提出檢討及改善方案。</w:t>
            </w:r>
          </w:p>
          <w:p w14:paraId="70BF4C1D" w14:textId="19B9B8A9" w:rsidR="0081540D" w:rsidRPr="00946B47" w:rsidRDefault="00525619" w:rsidP="00525619">
            <w:pPr>
              <w:pStyle w:val="a7"/>
              <w:numPr>
                <w:ilvl w:val="0"/>
                <w:numId w:val="12"/>
              </w:numPr>
              <w:kinsoku w:val="0"/>
              <w:overflowPunct w:val="0"/>
              <w:autoSpaceDE w:val="0"/>
              <w:ind w:leftChars="0"/>
              <w:jc w:val="both"/>
              <w:textAlignment w:val="center"/>
              <w:rPr>
                <w:rFonts w:ascii="標楷體" w:eastAsia="標楷體" w:hAnsi="標楷體"/>
                <w:szCs w:val="24"/>
              </w:rPr>
            </w:pPr>
            <w:r w:rsidRPr="00495682">
              <w:rPr>
                <w:rFonts w:ascii="標楷體" w:eastAsia="標楷體" w:hAnsi="標楷體" w:hint="eastAsia"/>
                <w:b/>
                <w:color w:val="E36C0A" w:themeColor="accent6" w:themeShade="BF"/>
                <w:szCs w:val="24"/>
                <w:u w:val="single"/>
              </w:rPr>
              <w:t>經主管機關依據第三十二條第二項規定進行查察後，發現未依方案改善缺失者。</w:t>
            </w:r>
          </w:p>
        </w:tc>
        <w:tc>
          <w:tcPr>
            <w:tcW w:w="4677" w:type="dxa"/>
          </w:tcPr>
          <w:p w14:paraId="36630382" w14:textId="1DA24F1F" w:rsidR="0081540D" w:rsidRPr="00DA2803" w:rsidRDefault="00DA2803" w:rsidP="007708D1">
            <w:pPr>
              <w:tabs>
                <w:tab w:val="left" w:pos="413"/>
              </w:tabs>
              <w:kinsoku w:val="0"/>
              <w:overflowPunct w:val="0"/>
              <w:autoSpaceDE w:val="0"/>
              <w:ind w:leftChars="1" w:left="2"/>
              <w:textAlignment w:val="center"/>
              <w:rPr>
                <w:rFonts w:ascii="標楷體" w:eastAsia="標楷體" w:hAnsi="標楷體"/>
                <w:szCs w:val="24"/>
              </w:rPr>
            </w:pPr>
            <w:r w:rsidRPr="007708D1">
              <w:rPr>
                <w:rFonts w:ascii="標楷體" w:eastAsia="標楷體" w:hAnsi="標楷體" w:hint="eastAsia"/>
                <w:color w:val="000000"/>
                <w:szCs w:val="24"/>
              </w:rPr>
              <w:t>針對</w:t>
            </w:r>
            <w:r w:rsidR="0081540D" w:rsidRPr="007708D1">
              <w:rPr>
                <w:rFonts w:ascii="標楷體" w:eastAsia="標楷體" w:hAnsi="標楷體" w:hint="eastAsia"/>
                <w:color w:val="000000"/>
                <w:szCs w:val="24"/>
              </w:rPr>
              <w:t>主管機關</w:t>
            </w:r>
            <w:r w:rsidRPr="007708D1">
              <w:rPr>
                <w:rFonts w:ascii="標楷體" w:eastAsia="標楷體" w:hAnsi="標楷體" w:hint="eastAsia"/>
                <w:color w:val="000000"/>
                <w:szCs w:val="24"/>
              </w:rPr>
              <w:t>於改善緩衝期後再次</w:t>
            </w:r>
            <w:r w:rsidR="0081540D" w:rsidRPr="007708D1">
              <w:rPr>
                <w:rFonts w:ascii="標楷體" w:eastAsia="標楷體" w:hAnsi="標楷體" w:hint="eastAsia"/>
                <w:color w:val="000000"/>
                <w:szCs w:val="24"/>
              </w:rPr>
              <w:t>進行查察後，發現未依方案改善缺失者</w:t>
            </w:r>
            <w:r w:rsidRPr="007708D1">
              <w:rPr>
                <w:rFonts w:ascii="標楷體" w:eastAsia="標楷體" w:hAnsi="標楷體" w:hint="eastAsia"/>
                <w:color w:val="000000"/>
                <w:szCs w:val="24"/>
              </w:rPr>
              <w:t>，應訂有罰則</w:t>
            </w:r>
            <w:r w:rsidR="0081540D" w:rsidRPr="007708D1">
              <w:rPr>
                <w:rFonts w:ascii="標楷體" w:eastAsia="標楷體" w:hAnsi="標楷體" w:hint="eastAsia"/>
                <w:color w:val="000000"/>
                <w:szCs w:val="24"/>
              </w:rPr>
              <w:t>。</w:t>
            </w:r>
          </w:p>
        </w:tc>
      </w:tr>
      <w:tr w:rsidR="0081540D" w:rsidRPr="00076962" w14:paraId="01B76D37" w14:textId="6BB33B57" w:rsidTr="00CD6133">
        <w:tc>
          <w:tcPr>
            <w:tcW w:w="4676" w:type="dxa"/>
          </w:tcPr>
          <w:p w14:paraId="5289D85D" w14:textId="77777777" w:rsidR="0081540D" w:rsidRPr="00C80E22" w:rsidRDefault="0081540D" w:rsidP="0081540D">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第三十七條　醫療機構違反第十七條第二項規定，無正當理由禁止或妨礙所屬醫事人員進行或成立調解者，由直轄市、縣（市）主管機關處新臺幣五萬元以上十五萬元以下罰鍰。</w:t>
            </w:r>
          </w:p>
          <w:p w14:paraId="764845B0" w14:textId="0D3E3EC8" w:rsidR="0081540D" w:rsidRPr="00C80E22" w:rsidRDefault="0081540D" w:rsidP="00495682">
            <w:pPr>
              <w:ind w:left="238" w:firstLineChars="202" w:firstLine="485"/>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醫療機構違反第十七條第三項規定，因其所屬醫事人員申請或同意調解，或因調解成立或不成立，予以不利之處置者，由直轄市、縣（市）主管機關處新臺幣五萬元以上十五萬元以下罰鍰。</w:t>
            </w:r>
          </w:p>
        </w:tc>
        <w:tc>
          <w:tcPr>
            <w:tcW w:w="4676" w:type="dxa"/>
            <w:tcBorders>
              <w:top w:val="single" w:sz="4" w:space="0" w:color="auto"/>
            </w:tcBorders>
          </w:tcPr>
          <w:p w14:paraId="7156AFFB" w14:textId="77777777" w:rsidR="00525619" w:rsidRPr="00495682" w:rsidRDefault="00525619" w:rsidP="00525619">
            <w:pPr>
              <w:ind w:left="238" w:hanging="238"/>
              <w:jc w:val="both"/>
              <w:rPr>
                <w:rFonts w:ascii="Times New Roman" w:eastAsia="標楷體" w:hAnsi="Times New Roman"/>
              </w:rPr>
            </w:pPr>
            <w:r w:rsidRPr="00495682">
              <w:rPr>
                <w:rFonts w:ascii="Times New Roman" w:eastAsia="標楷體" w:hAnsi="Times New Roman" w:hint="eastAsia"/>
              </w:rPr>
              <w:t>第三十七條　醫療機構有下列情形之一者，由直轄市、縣（市）主管機關處新臺幣五萬元以上十五萬元以下罰鍰：</w:t>
            </w:r>
          </w:p>
          <w:p w14:paraId="25AA1244" w14:textId="77777777" w:rsidR="00525619" w:rsidRPr="00495682" w:rsidRDefault="00525619" w:rsidP="00525619">
            <w:pPr>
              <w:pStyle w:val="a7"/>
              <w:numPr>
                <w:ilvl w:val="0"/>
                <w:numId w:val="20"/>
              </w:numPr>
              <w:kinsoku w:val="0"/>
              <w:overflowPunct w:val="0"/>
              <w:autoSpaceDE w:val="0"/>
              <w:ind w:leftChars="98" w:left="737" w:hangingChars="209" w:hanging="502"/>
              <w:jc w:val="both"/>
              <w:textAlignment w:val="center"/>
              <w:rPr>
                <w:rFonts w:ascii="標楷體" w:eastAsia="標楷體" w:hAnsi="標楷體"/>
                <w:b/>
                <w:color w:val="E36C0A" w:themeColor="accent6" w:themeShade="BF"/>
                <w:szCs w:val="24"/>
                <w:u w:val="single"/>
              </w:rPr>
            </w:pPr>
            <w:r w:rsidRPr="00495682">
              <w:rPr>
                <w:rFonts w:ascii="標楷體" w:eastAsia="標楷體" w:hAnsi="標楷體" w:hint="eastAsia"/>
                <w:b/>
                <w:color w:val="E36C0A" w:themeColor="accent6" w:themeShade="BF"/>
                <w:szCs w:val="24"/>
                <w:u w:val="single"/>
              </w:rPr>
              <w:t>違反第十七條第二項、第三項規定者。</w:t>
            </w:r>
          </w:p>
          <w:p w14:paraId="4DA6592A" w14:textId="088B8BB4" w:rsidR="0081540D" w:rsidRPr="00946B47" w:rsidRDefault="00525619" w:rsidP="00525619">
            <w:pPr>
              <w:ind w:left="238" w:firstLineChars="202" w:firstLine="485"/>
              <w:jc w:val="both"/>
              <w:rPr>
                <w:rFonts w:ascii="標楷體" w:eastAsia="標楷體" w:hAnsi="標楷體"/>
                <w:szCs w:val="24"/>
              </w:rPr>
            </w:pPr>
            <w:r w:rsidRPr="00495682">
              <w:rPr>
                <w:rFonts w:ascii="標楷體" w:eastAsia="標楷體" w:hAnsi="標楷體" w:hint="eastAsia"/>
                <w:b/>
                <w:color w:val="E36C0A" w:themeColor="accent6" w:themeShade="BF"/>
                <w:szCs w:val="24"/>
                <w:u w:val="single"/>
              </w:rPr>
              <w:t>禁止或妨礙所屬人員進行第五條關懷服務、第三十一條事故通報；或予以不利之處置者。</w:t>
            </w:r>
          </w:p>
        </w:tc>
        <w:tc>
          <w:tcPr>
            <w:tcW w:w="4677" w:type="dxa"/>
            <w:tcBorders>
              <w:top w:val="single" w:sz="4" w:space="0" w:color="auto"/>
            </w:tcBorders>
          </w:tcPr>
          <w:p w14:paraId="4BB9E159" w14:textId="5B57FA49" w:rsidR="0081540D" w:rsidRPr="00DA2803" w:rsidRDefault="00DA2803" w:rsidP="007708D1">
            <w:pPr>
              <w:tabs>
                <w:tab w:val="left" w:pos="413"/>
              </w:tabs>
              <w:kinsoku w:val="0"/>
              <w:overflowPunct w:val="0"/>
              <w:autoSpaceDE w:val="0"/>
              <w:ind w:leftChars="1" w:left="2"/>
              <w:textAlignment w:val="center"/>
              <w:rPr>
                <w:rFonts w:ascii="標楷體" w:eastAsia="標楷體" w:hAnsi="標楷體"/>
                <w:szCs w:val="24"/>
              </w:rPr>
            </w:pPr>
            <w:r w:rsidRPr="00DA2803">
              <w:rPr>
                <w:rFonts w:ascii="標楷體" w:eastAsia="標楷體" w:hAnsi="標楷體" w:hint="eastAsia"/>
                <w:szCs w:val="24"/>
              </w:rPr>
              <w:t>有鑑於</w:t>
            </w:r>
            <w:r w:rsidRPr="00DA2803">
              <w:rPr>
                <w:rFonts w:ascii="標楷體" w:eastAsia="標楷體" w:hAnsi="標楷體" w:hint="eastAsia"/>
                <w:color w:val="000000"/>
                <w:szCs w:val="24"/>
              </w:rPr>
              <w:t>現行醫療實務現場仍有醫療機構禁止或妨礙所屬人員，進行院內關懷、事故通報等情事，爰建議一併增列罰則。</w:t>
            </w:r>
          </w:p>
        </w:tc>
      </w:tr>
      <w:tr w:rsidR="0081540D" w:rsidRPr="00076962" w14:paraId="219C62AD" w14:textId="34A1D897" w:rsidTr="00CD6133">
        <w:tc>
          <w:tcPr>
            <w:tcW w:w="4676" w:type="dxa"/>
          </w:tcPr>
          <w:p w14:paraId="27FB2DB7" w14:textId="77777777" w:rsidR="0081540D" w:rsidRPr="00C80E22" w:rsidRDefault="0081540D" w:rsidP="0081540D">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第三十八條　醫療機構</w:t>
            </w:r>
            <w:r w:rsidRPr="00C80E22">
              <w:rPr>
                <w:rFonts w:ascii="Times New Roman" w:eastAsia="標楷體" w:hAnsi="Times New Roman" w:hint="eastAsia"/>
                <w:color w:val="000000" w:themeColor="text1"/>
              </w:rPr>
              <w:t>有下列情形之一</w:t>
            </w:r>
            <w:r w:rsidRPr="00C80E22">
              <w:rPr>
                <w:rFonts w:ascii="標楷體" w:eastAsia="標楷體" w:hAnsi="標楷體" w:hint="eastAsia"/>
                <w:color w:val="000000" w:themeColor="text1"/>
                <w:szCs w:val="24"/>
              </w:rPr>
              <w:t>者，由直轄市、縣（市）主管機關處新臺幣二萬元以上十萬元以下罰鍰，並令其限期改善；屆期未改善者，得按次處罰：</w:t>
            </w:r>
          </w:p>
          <w:p w14:paraId="6A157BA7" w14:textId="77777777" w:rsidR="0081540D" w:rsidRPr="00C80E22" w:rsidRDefault="0081540D" w:rsidP="0081540D">
            <w:pPr>
              <w:pStyle w:val="a7"/>
              <w:numPr>
                <w:ilvl w:val="0"/>
                <w:numId w:val="6"/>
              </w:numPr>
              <w:kinsoku w:val="0"/>
              <w:overflowPunct w:val="0"/>
              <w:autoSpaceDE w:val="0"/>
              <w:ind w:leftChars="109" w:left="778" w:hangingChars="215" w:hanging="516"/>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一百床以上醫院違反第五條第一項規定，未設醫療事故關懷小組。</w:t>
            </w:r>
          </w:p>
          <w:p w14:paraId="4D7B5A37" w14:textId="55359C05" w:rsidR="0081540D" w:rsidRPr="00C80E22" w:rsidRDefault="0081540D" w:rsidP="002717E1">
            <w:pPr>
              <w:pStyle w:val="a7"/>
              <w:numPr>
                <w:ilvl w:val="0"/>
                <w:numId w:val="6"/>
              </w:numPr>
              <w:kinsoku w:val="0"/>
              <w:overflowPunct w:val="0"/>
              <w:autoSpaceDE w:val="0"/>
              <w:ind w:leftChars="109" w:left="778" w:hangingChars="215" w:hanging="516"/>
              <w:jc w:val="both"/>
              <w:textAlignment w:val="center"/>
              <w:rPr>
                <w:rFonts w:ascii="標楷體" w:eastAsia="標楷體" w:hAnsi="標楷體"/>
                <w:color w:val="000000" w:themeColor="text1"/>
                <w:szCs w:val="24"/>
              </w:rPr>
            </w:pPr>
            <w:r w:rsidRPr="00C80E22">
              <w:rPr>
                <w:rFonts w:ascii="標楷體" w:eastAsia="標楷體" w:hAnsi="標楷體" w:hint="eastAsia"/>
                <w:color w:val="000000" w:themeColor="text1"/>
                <w:szCs w:val="24"/>
              </w:rPr>
              <w:t>九十九床以下醫院、診所或其他醫療機構，未依第五條第二項指定專業人員或委由專業機構或團體負責說明、溝通、協助及關懷服務。</w:t>
            </w:r>
          </w:p>
        </w:tc>
        <w:tc>
          <w:tcPr>
            <w:tcW w:w="4676" w:type="dxa"/>
          </w:tcPr>
          <w:p w14:paraId="1040D0F1" w14:textId="6869B36B" w:rsidR="0081540D" w:rsidRPr="00055449" w:rsidRDefault="0081540D" w:rsidP="00495682">
            <w:pPr>
              <w:ind w:left="238" w:hanging="238"/>
              <w:jc w:val="both"/>
              <w:rPr>
                <w:rFonts w:ascii="Times New Roman" w:eastAsia="標楷體" w:hAnsi="Times New Roman"/>
                <w:szCs w:val="24"/>
              </w:rPr>
            </w:pPr>
            <w:r w:rsidRPr="00055449">
              <w:rPr>
                <w:rFonts w:ascii="Times New Roman" w:eastAsia="標楷體" w:hAnsi="Times New Roman" w:hint="eastAsia"/>
              </w:rPr>
              <w:t>第三十九條　醫療機構</w:t>
            </w:r>
            <w:r w:rsidRPr="00356034">
              <w:rPr>
                <w:rFonts w:ascii="Times New Roman" w:eastAsia="標楷體" w:hAnsi="Times New Roman" w:hint="eastAsia"/>
                <w:b/>
                <w:color w:val="E36C0A" w:themeColor="accent6" w:themeShade="BF"/>
                <w:u w:val="single"/>
              </w:rPr>
              <w:t>違反第五條第一項至第六項規定</w:t>
            </w:r>
            <w:r w:rsidRPr="00055449">
              <w:rPr>
                <w:rFonts w:ascii="Times New Roman" w:eastAsia="標楷體" w:hAnsi="Times New Roman" w:hint="eastAsia"/>
              </w:rPr>
              <w:t>者，由直轄市、縣（市）主管機關處新臺幣二萬元以上十萬元以下罰鍰，並令其限期改善；屆期未改善者，得按次處罰。</w:t>
            </w:r>
          </w:p>
        </w:tc>
        <w:tc>
          <w:tcPr>
            <w:tcW w:w="4677" w:type="dxa"/>
          </w:tcPr>
          <w:p w14:paraId="6707742B" w14:textId="381B5328" w:rsidR="0081540D" w:rsidRPr="00DA2803" w:rsidRDefault="00DA2803" w:rsidP="007708D1">
            <w:pPr>
              <w:tabs>
                <w:tab w:val="left" w:pos="413"/>
              </w:tabs>
              <w:ind w:leftChars="1" w:left="2"/>
              <w:rPr>
                <w:rFonts w:ascii="標楷體" w:eastAsia="標楷體" w:hAnsi="標楷體"/>
                <w:szCs w:val="24"/>
              </w:rPr>
            </w:pPr>
            <w:r w:rsidRPr="00DA2803">
              <w:rPr>
                <w:rFonts w:ascii="標楷體" w:eastAsia="標楷體" w:hAnsi="標楷體" w:hint="eastAsia"/>
                <w:color w:val="000000"/>
                <w:szCs w:val="24"/>
              </w:rPr>
              <w:t>從生產事故救濟條例實施經驗發現，許多院所對關懷小組採取「有設置之名、沒關懷之實」，爰建議應就違反第五條各項規定者均予以處罰，而非僅就設置與否處罰。</w:t>
            </w:r>
          </w:p>
        </w:tc>
      </w:tr>
      <w:tr w:rsidR="0081540D" w:rsidRPr="00076962" w14:paraId="4D50EC8E" w14:textId="283F471E" w:rsidTr="00CD6133">
        <w:tc>
          <w:tcPr>
            <w:tcW w:w="4676" w:type="dxa"/>
            <w:tcBorders>
              <w:top w:val="single" w:sz="4" w:space="0" w:color="auto"/>
            </w:tcBorders>
          </w:tcPr>
          <w:p w14:paraId="17EFDA57" w14:textId="3C3F4AC0" w:rsidR="0081540D" w:rsidRPr="00C80E22" w:rsidRDefault="0081540D" w:rsidP="0081540D">
            <w:pPr>
              <w:ind w:left="238" w:hanging="238"/>
              <w:jc w:val="both"/>
              <w:rPr>
                <w:rFonts w:ascii="標楷體" w:eastAsia="標楷體" w:hAnsi="標楷體"/>
                <w:color w:val="000000" w:themeColor="text1"/>
                <w:szCs w:val="24"/>
              </w:rPr>
            </w:pPr>
            <w:r w:rsidRPr="00C80E22">
              <w:rPr>
                <w:rFonts w:ascii="標楷體" w:eastAsia="標楷體" w:hAnsi="標楷體" w:hint="eastAsia"/>
                <w:color w:val="000000" w:themeColor="text1"/>
                <w:szCs w:val="24"/>
              </w:rPr>
              <w:t>第四十二條　本法施行日期，由行政院定之。</w:t>
            </w:r>
          </w:p>
        </w:tc>
        <w:tc>
          <w:tcPr>
            <w:tcW w:w="4676" w:type="dxa"/>
            <w:tcBorders>
              <w:top w:val="single" w:sz="4" w:space="0" w:color="auto"/>
              <w:left w:val="single" w:sz="4" w:space="0" w:color="auto"/>
              <w:bottom w:val="single" w:sz="4" w:space="0" w:color="auto"/>
              <w:right w:val="single" w:sz="4" w:space="0" w:color="auto"/>
            </w:tcBorders>
          </w:tcPr>
          <w:p w14:paraId="67980050" w14:textId="6B75E49A" w:rsidR="0081540D" w:rsidRPr="00C126F4" w:rsidRDefault="00525619" w:rsidP="0081540D">
            <w:pPr>
              <w:ind w:left="238" w:hanging="238"/>
              <w:jc w:val="both"/>
              <w:rPr>
                <w:rFonts w:ascii="標楷體" w:eastAsia="標楷體" w:hAnsi="標楷體"/>
                <w:szCs w:val="24"/>
              </w:rPr>
            </w:pPr>
            <w:r w:rsidRPr="002717E1">
              <w:rPr>
                <w:rFonts w:ascii="標楷體" w:eastAsia="標楷體" w:hAnsi="標楷體" w:hint="eastAsia"/>
                <w:szCs w:val="24"/>
              </w:rPr>
              <w:t>第四十二條　本法</w:t>
            </w:r>
            <w:r w:rsidRPr="00356034">
              <w:rPr>
                <w:rFonts w:ascii="標楷體" w:eastAsia="標楷體" w:hAnsi="標楷體" w:hint="eastAsia"/>
                <w:b/>
                <w:color w:val="E36C0A" w:themeColor="accent6" w:themeShade="BF"/>
                <w:szCs w:val="24"/>
                <w:u w:val="single"/>
              </w:rPr>
              <w:t>自公布後半年</w:t>
            </w:r>
            <w:r w:rsidRPr="002717E1">
              <w:rPr>
                <w:rFonts w:ascii="標楷體" w:eastAsia="標楷體" w:hAnsi="標楷體" w:hint="eastAsia"/>
                <w:szCs w:val="24"/>
              </w:rPr>
              <w:t>施行</w:t>
            </w:r>
            <w:r w:rsidRPr="00356034">
              <w:rPr>
                <w:rFonts w:ascii="標楷體" w:eastAsia="標楷體" w:hAnsi="標楷體" w:hint="eastAsia"/>
                <w:dstrike/>
                <w:color w:val="FF0000"/>
                <w:szCs w:val="24"/>
              </w:rPr>
              <w:t>日期，由行政院定之</w:t>
            </w:r>
            <w:r w:rsidRPr="002717E1">
              <w:rPr>
                <w:rFonts w:ascii="標楷體" w:eastAsia="標楷體" w:hAnsi="標楷體" w:hint="eastAsia"/>
                <w:szCs w:val="24"/>
              </w:rPr>
              <w:t>。</w:t>
            </w:r>
          </w:p>
        </w:tc>
        <w:tc>
          <w:tcPr>
            <w:tcW w:w="4677" w:type="dxa"/>
            <w:tcBorders>
              <w:top w:val="single" w:sz="4" w:space="0" w:color="auto"/>
              <w:left w:val="single" w:sz="4" w:space="0" w:color="auto"/>
              <w:bottom w:val="single" w:sz="4" w:space="0" w:color="auto"/>
              <w:right w:val="single" w:sz="4" w:space="0" w:color="auto"/>
            </w:tcBorders>
          </w:tcPr>
          <w:p w14:paraId="6096B80E" w14:textId="1FB7A54C" w:rsidR="0081540D" w:rsidRPr="00DA2803" w:rsidRDefault="007708D1" w:rsidP="007708D1">
            <w:pPr>
              <w:tabs>
                <w:tab w:val="left" w:pos="413"/>
              </w:tabs>
              <w:rPr>
                <w:rFonts w:ascii="標楷體" w:eastAsia="標楷體" w:hAnsi="標楷體"/>
                <w:szCs w:val="24"/>
              </w:rPr>
            </w:pPr>
            <w:r w:rsidRPr="007708D1">
              <w:rPr>
                <w:rFonts w:ascii="標楷體" w:eastAsia="標楷體" w:hAnsi="標楷體" w:hint="eastAsia"/>
                <w:color w:val="000000"/>
                <w:szCs w:val="24"/>
              </w:rPr>
              <w:t>有鑒於各界對非訟醫糾處理機制期盼殷切，現行已有多元雙向試辦計畫經驗可縮短上路所需準備時間，爰建議比照生產事故救濟條例明定半年後上路實施，不宜空白授權行政機關自訂實施日期，以符社會期待。</w:t>
            </w:r>
          </w:p>
        </w:tc>
      </w:tr>
    </w:tbl>
    <w:p w14:paraId="53154E22" w14:textId="16EF7895" w:rsidR="00CC6449" w:rsidRDefault="00CC6449" w:rsidP="00765E13">
      <w:pPr>
        <w:jc w:val="both"/>
        <w:rPr>
          <w:rFonts w:ascii="標楷體" w:eastAsia="標楷體" w:hAnsi="標楷體"/>
          <w:szCs w:val="24"/>
        </w:rPr>
      </w:pPr>
    </w:p>
    <w:sectPr w:rsidR="00CC6449" w:rsidSect="00CC6449">
      <w:footerReference w:type="default" r:id="rId9"/>
      <w:pgSz w:w="16838" w:h="11906" w:orient="landscape"/>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B6758" w14:textId="77777777" w:rsidR="0050573A" w:rsidRDefault="0050573A" w:rsidP="009C0009">
      <w:r>
        <w:separator/>
      </w:r>
    </w:p>
  </w:endnote>
  <w:endnote w:type="continuationSeparator" w:id="0">
    <w:p w14:paraId="48B1910F" w14:textId="77777777" w:rsidR="0050573A" w:rsidRDefault="0050573A" w:rsidP="009C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華康儷楷書">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標楷體" w:hAnsi="Times New Roman" w:cs="華康儷楷書"/>
      </w:rPr>
      <w:id w:val="-314723186"/>
      <w:docPartObj>
        <w:docPartGallery w:val="Page Numbers (Bottom of Page)"/>
        <w:docPartUnique/>
      </w:docPartObj>
    </w:sdtPr>
    <w:sdtContent>
      <w:p w14:paraId="68259CF2" w14:textId="110C0070" w:rsidR="0050573A" w:rsidRPr="00AF1EFD" w:rsidRDefault="0050573A" w:rsidP="00FF4796">
        <w:pPr>
          <w:pStyle w:val="a5"/>
          <w:jc w:val="center"/>
          <w:rPr>
            <w:rFonts w:ascii="Times New Roman" w:eastAsia="標楷體" w:hAnsi="Times New Roman" w:cs="華康儷楷書"/>
          </w:rPr>
        </w:pPr>
        <w:r w:rsidRPr="00AF1EFD">
          <w:rPr>
            <w:rFonts w:ascii="Times New Roman" w:eastAsia="標楷體" w:hAnsi="Times New Roman" w:cs="華康儷楷書"/>
          </w:rPr>
          <w:t>第</w:t>
        </w:r>
        <w:r w:rsidRPr="00AF1EFD">
          <w:rPr>
            <w:rFonts w:ascii="Times New Roman" w:eastAsia="標楷體" w:hAnsi="Times New Roman" w:cs="華康儷楷書"/>
          </w:rPr>
          <w:fldChar w:fldCharType="begin"/>
        </w:r>
        <w:r w:rsidRPr="00AF1EFD">
          <w:rPr>
            <w:rFonts w:ascii="Times New Roman" w:eastAsia="標楷體" w:hAnsi="Times New Roman" w:cs="華康儷楷書"/>
          </w:rPr>
          <w:instrText>PAGE   \* MERGEFORMAT</w:instrText>
        </w:r>
        <w:r w:rsidRPr="00AF1EFD">
          <w:rPr>
            <w:rFonts w:ascii="Times New Roman" w:eastAsia="標楷體" w:hAnsi="Times New Roman" w:cs="華康儷楷書"/>
          </w:rPr>
          <w:fldChar w:fldCharType="separate"/>
        </w:r>
        <w:r w:rsidR="0032704F" w:rsidRPr="0032704F">
          <w:rPr>
            <w:rFonts w:ascii="Times New Roman" w:eastAsia="標楷體" w:hAnsi="Times New Roman" w:cs="華康儷楷書"/>
            <w:noProof/>
            <w:lang w:val="zh-TW"/>
          </w:rPr>
          <w:t>6</w:t>
        </w:r>
        <w:r w:rsidRPr="00AF1EFD">
          <w:rPr>
            <w:rFonts w:ascii="Times New Roman" w:eastAsia="標楷體" w:hAnsi="Times New Roman" w:cs="華康儷楷書"/>
          </w:rPr>
          <w:fldChar w:fldCharType="end"/>
        </w:r>
        <w:r w:rsidRPr="00AF1EFD">
          <w:rPr>
            <w:rFonts w:ascii="Times New Roman" w:eastAsia="標楷體" w:hAnsi="Times New Roman" w:cs="華康儷楷書"/>
          </w:rPr>
          <w:t>頁，共</w:t>
        </w:r>
        <w:r>
          <w:rPr>
            <w:rFonts w:ascii="Times New Roman" w:eastAsia="標楷體" w:hAnsi="Times New Roman" w:cs="華康儷楷書"/>
          </w:rPr>
          <w:t>17</w:t>
        </w:r>
        <w:r w:rsidRPr="00AF1EFD">
          <w:rPr>
            <w:rFonts w:ascii="Times New Roman" w:eastAsia="標楷體" w:hAnsi="Times New Roman" w:cs="華康儷楷書"/>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06879" w14:textId="77777777" w:rsidR="0050573A" w:rsidRDefault="0050573A" w:rsidP="009C0009">
      <w:r>
        <w:separator/>
      </w:r>
    </w:p>
  </w:footnote>
  <w:footnote w:type="continuationSeparator" w:id="0">
    <w:p w14:paraId="5B4A00C9" w14:textId="77777777" w:rsidR="0050573A" w:rsidRDefault="0050573A" w:rsidP="009C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F9A"/>
    <w:multiLevelType w:val="hybridMultilevel"/>
    <w:tmpl w:val="EE5CC1AC"/>
    <w:lvl w:ilvl="0" w:tplc="87EA808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B701BA"/>
    <w:multiLevelType w:val="hybridMultilevel"/>
    <w:tmpl w:val="EE5CC1AC"/>
    <w:lvl w:ilvl="0" w:tplc="87EA808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092B12"/>
    <w:multiLevelType w:val="hybridMultilevel"/>
    <w:tmpl w:val="C2DCF09C"/>
    <w:lvl w:ilvl="0" w:tplc="6CC66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887C87"/>
    <w:multiLevelType w:val="hybridMultilevel"/>
    <w:tmpl w:val="4B5C6408"/>
    <w:lvl w:ilvl="0" w:tplc="505E84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D15EEA"/>
    <w:multiLevelType w:val="hybridMultilevel"/>
    <w:tmpl w:val="C21AFAA4"/>
    <w:lvl w:ilvl="0" w:tplc="6CC66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8503B0"/>
    <w:multiLevelType w:val="hybridMultilevel"/>
    <w:tmpl w:val="96DE5EAA"/>
    <w:lvl w:ilvl="0" w:tplc="150823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9B321E"/>
    <w:multiLevelType w:val="hybridMultilevel"/>
    <w:tmpl w:val="DFB00FC4"/>
    <w:lvl w:ilvl="0" w:tplc="17FA4FA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D70EDE"/>
    <w:multiLevelType w:val="hybridMultilevel"/>
    <w:tmpl w:val="DFB00FC4"/>
    <w:lvl w:ilvl="0" w:tplc="17FA4FA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0D216E"/>
    <w:multiLevelType w:val="hybridMultilevel"/>
    <w:tmpl w:val="ECAADE26"/>
    <w:lvl w:ilvl="0" w:tplc="F790D41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711F25"/>
    <w:multiLevelType w:val="hybridMultilevel"/>
    <w:tmpl w:val="7AAC7918"/>
    <w:lvl w:ilvl="0" w:tplc="6CC662C8">
      <w:start w:val="1"/>
      <w:numFmt w:val="decimal"/>
      <w:lvlText w:val="%1."/>
      <w:lvlJc w:val="left"/>
      <w:pPr>
        <w:ind w:left="2272" w:hanging="360"/>
      </w:pPr>
      <w:rPr>
        <w:rFonts w:hint="default"/>
      </w:rPr>
    </w:lvl>
    <w:lvl w:ilvl="1" w:tplc="04090019" w:tentative="1">
      <w:start w:val="1"/>
      <w:numFmt w:val="ideographTraditional"/>
      <w:lvlText w:val="%2、"/>
      <w:lvlJc w:val="left"/>
      <w:pPr>
        <w:ind w:left="2872" w:hanging="480"/>
      </w:pPr>
    </w:lvl>
    <w:lvl w:ilvl="2" w:tplc="0409001B" w:tentative="1">
      <w:start w:val="1"/>
      <w:numFmt w:val="lowerRoman"/>
      <w:lvlText w:val="%3."/>
      <w:lvlJc w:val="right"/>
      <w:pPr>
        <w:ind w:left="3352" w:hanging="480"/>
      </w:pPr>
    </w:lvl>
    <w:lvl w:ilvl="3" w:tplc="0409000F" w:tentative="1">
      <w:start w:val="1"/>
      <w:numFmt w:val="decimal"/>
      <w:lvlText w:val="%4."/>
      <w:lvlJc w:val="left"/>
      <w:pPr>
        <w:ind w:left="3832" w:hanging="480"/>
      </w:pPr>
    </w:lvl>
    <w:lvl w:ilvl="4" w:tplc="04090019" w:tentative="1">
      <w:start w:val="1"/>
      <w:numFmt w:val="ideographTraditional"/>
      <w:lvlText w:val="%5、"/>
      <w:lvlJc w:val="left"/>
      <w:pPr>
        <w:ind w:left="4312" w:hanging="480"/>
      </w:pPr>
    </w:lvl>
    <w:lvl w:ilvl="5" w:tplc="0409001B" w:tentative="1">
      <w:start w:val="1"/>
      <w:numFmt w:val="lowerRoman"/>
      <w:lvlText w:val="%6."/>
      <w:lvlJc w:val="right"/>
      <w:pPr>
        <w:ind w:left="4792" w:hanging="480"/>
      </w:pPr>
    </w:lvl>
    <w:lvl w:ilvl="6" w:tplc="0409000F" w:tentative="1">
      <w:start w:val="1"/>
      <w:numFmt w:val="decimal"/>
      <w:lvlText w:val="%7."/>
      <w:lvlJc w:val="left"/>
      <w:pPr>
        <w:ind w:left="5272" w:hanging="480"/>
      </w:pPr>
    </w:lvl>
    <w:lvl w:ilvl="7" w:tplc="04090019" w:tentative="1">
      <w:start w:val="1"/>
      <w:numFmt w:val="ideographTraditional"/>
      <w:lvlText w:val="%8、"/>
      <w:lvlJc w:val="left"/>
      <w:pPr>
        <w:ind w:left="5752" w:hanging="480"/>
      </w:pPr>
    </w:lvl>
    <w:lvl w:ilvl="8" w:tplc="0409001B" w:tentative="1">
      <w:start w:val="1"/>
      <w:numFmt w:val="lowerRoman"/>
      <w:lvlText w:val="%9."/>
      <w:lvlJc w:val="right"/>
      <w:pPr>
        <w:ind w:left="6232" w:hanging="480"/>
      </w:pPr>
    </w:lvl>
  </w:abstractNum>
  <w:abstractNum w:abstractNumId="10">
    <w:nsid w:val="28F03511"/>
    <w:multiLevelType w:val="hybridMultilevel"/>
    <w:tmpl w:val="DFB00FC4"/>
    <w:lvl w:ilvl="0" w:tplc="17FA4FA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1534A6"/>
    <w:multiLevelType w:val="hybridMultilevel"/>
    <w:tmpl w:val="8A126B54"/>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576C17"/>
    <w:multiLevelType w:val="hybridMultilevel"/>
    <w:tmpl w:val="8A126B54"/>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675D58"/>
    <w:multiLevelType w:val="hybridMultilevel"/>
    <w:tmpl w:val="7820B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71C66E0"/>
    <w:multiLevelType w:val="hybridMultilevel"/>
    <w:tmpl w:val="96DE5EAA"/>
    <w:lvl w:ilvl="0" w:tplc="150823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038642C"/>
    <w:multiLevelType w:val="hybridMultilevel"/>
    <w:tmpl w:val="54409768"/>
    <w:lvl w:ilvl="0" w:tplc="6CC662C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45DA7D24"/>
    <w:multiLevelType w:val="hybridMultilevel"/>
    <w:tmpl w:val="8A126B54"/>
    <w:lvl w:ilvl="0" w:tplc="E8C8C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C948BF"/>
    <w:multiLevelType w:val="hybridMultilevel"/>
    <w:tmpl w:val="06D21072"/>
    <w:lvl w:ilvl="0" w:tplc="6CC662C8">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4A1E2CDD"/>
    <w:multiLevelType w:val="hybridMultilevel"/>
    <w:tmpl w:val="CEF62840"/>
    <w:lvl w:ilvl="0" w:tplc="BC908560">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9">
    <w:nsid w:val="4BCF7EC9"/>
    <w:multiLevelType w:val="hybridMultilevel"/>
    <w:tmpl w:val="EE5CC1AC"/>
    <w:lvl w:ilvl="0" w:tplc="87EA808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6C6AAE"/>
    <w:multiLevelType w:val="hybridMultilevel"/>
    <w:tmpl w:val="DFB00FC4"/>
    <w:lvl w:ilvl="0" w:tplc="17FA4FA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881028"/>
    <w:multiLevelType w:val="hybridMultilevel"/>
    <w:tmpl w:val="C636B026"/>
    <w:lvl w:ilvl="0" w:tplc="10889410">
      <w:start w:val="1"/>
      <w:numFmt w:val="taiwaneseCountingThousand"/>
      <w:lvlText w:val="%1、"/>
      <w:lvlJc w:val="left"/>
      <w:pPr>
        <w:ind w:left="720" w:hanging="720"/>
      </w:pPr>
      <w:rPr>
        <w:rFonts w:hint="default"/>
        <w:color w:val="E36C0A" w:themeColor="accent6" w:themeShade="BF"/>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523F24"/>
    <w:multiLevelType w:val="hybridMultilevel"/>
    <w:tmpl w:val="54E8D648"/>
    <w:lvl w:ilvl="0" w:tplc="BC908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05553B"/>
    <w:multiLevelType w:val="hybridMultilevel"/>
    <w:tmpl w:val="96DE5EAA"/>
    <w:lvl w:ilvl="0" w:tplc="150823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747126"/>
    <w:multiLevelType w:val="hybridMultilevel"/>
    <w:tmpl w:val="19147CF0"/>
    <w:lvl w:ilvl="0" w:tplc="6CC662C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nsid w:val="5D252D97"/>
    <w:multiLevelType w:val="hybridMultilevel"/>
    <w:tmpl w:val="503A4BA4"/>
    <w:lvl w:ilvl="0" w:tplc="6CC66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3201F8"/>
    <w:multiLevelType w:val="hybridMultilevel"/>
    <w:tmpl w:val="BA643804"/>
    <w:lvl w:ilvl="0" w:tplc="6CC66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F118A9"/>
    <w:multiLevelType w:val="hybridMultilevel"/>
    <w:tmpl w:val="A64098B8"/>
    <w:lvl w:ilvl="0" w:tplc="BC908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3F16503"/>
    <w:multiLevelType w:val="hybridMultilevel"/>
    <w:tmpl w:val="6D527BEA"/>
    <w:lvl w:ilvl="0" w:tplc="6CC66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553D0A"/>
    <w:multiLevelType w:val="hybridMultilevel"/>
    <w:tmpl w:val="DFB00FC4"/>
    <w:lvl w:ilvl="0" w:tplc="17FA4FA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783C83"/>
    <w:multiLevelType w:val="hybridMultilevel"/>
    <w:tmpl w:val="4EE89BF6"/>
    <w:lvl w:ilvl="0" w:tplc="D422BE0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D1B73F6"/>
    <w:multiLevelType w:val="hybridMultilevel"/>
    <w:tmpl w:val="3202C020"/>
    <w:lvl w:ilvl="0" w:tplc="146249EC">
      <w:start w:val="1"/>
      <w:numFmt w:val="taiwaneseCountingThousand"/>
      <w:lvlText w:val="%1、"/>
      <w:lvlJc w:val="left"/>
      <w:pPr>
        <w:ind w:left="720" w:hanging="720"/>
      </w:pPr>
      <w:rPr>
        <w:rFonts w:hint="default"/>
        <w:color w:val="FF0000"/>
        <w:u w:val="doub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4C0D08"/>
    <w:multiLevelType w:val="hybridMultilevel"/>
    <w:tmpl w:val="27E4C582"/>
    <w:lvl w:ilvl="0" w:tplc="D422BE04">
      <w:start w:val="1"/>
      <w:numFmt w:val="taiwaneseCountingThousand"/>
      <w:lvlText w:val="%1、"/>
      <w:lvlJc w:val="left"/>
      <w:pPr>
        <w:ind w:left="600" w:hanging="480"/>
      </w:pPr>
      <w:rPr>
        <w:rFonts w:hint="default"/>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3">
    <w:nsid w:val="752E42DC"/>
    <w:multiLevelType w:val="hybridMultilevel"/>
    <w:tmpl w:val="4EE89BF6"/>
    <w:lvl w:ilvl="0" w:tplc="D422BE0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2E6C02"/>
    <w:multiLevelType w:val="hybridMultilevel"/>
    <w:tmpl w:val="5FFCB614"/>
    <w:lvl w:ilvl="0" w:tplc="C466EEE0">
      <w:start w:val="1"/>
      <w:numFmt w:val="taiwaneseCountingThousand"/>
      <w:lvlText w:val="%1、"/>
      <w:lvlJc w:val="left"/>
      <w:pPr>
        <w:ind w:left="720" w:hanging="72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5D3F68"/>
    <w:multiLevelType w:val="hybridMultilevel"/>
    <w:tmpl w:val="1AE66B5C"/>
    <w:lvl w:ilvl="0" w:tplc="F790D41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C54C3F"/>
    <w:multiLevelType w:val="hybridMultilevel"/>
    <w:tmpl w:val="B49A1B8E"/>
    <w:lvl w:ilvl="0" w:tplc="BC908560">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7">
    <w:nsid w:val="7BA964D3"/>
    <w:multiLevelType w:val="hybridMultilevel"/>
    <w:tmpl w:val="5E16EB3E"/>
    <w:lvl w:ilvl="0" w:tplc="0409000F">
      <w:start w:val="1"/>
      <w:numFmt w:val="decimal"/>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0"/>
  </w:num>
  <w:num w:numId="3">
    <w:abstractNumId w:val="11"/>
  </w:num>
  <w:num w:numId="4">
    <w:abstractNumId w:val="14"/>
  </w:num>
  <w:num w:numId="5">
    <w:abstractNumId w:val="8"/>
  </w:num>
  <w:num w:numId="6">
    <w:abstractNumId w:val="31"/>
  </w:num>
  <w:num w:numId="7">
    <w:abstractNumId w:val="1"/>
  </w:num>
  <w:num w:numId="8">
    <w:abstractNumId w:val="10"/>
  </w:num>
  <w:num w:numId="9">
    <w:abstractNumId w:val="35"/>
  </w:num>
  <w:num w:numId="10">
    <w:abstractNumId w:val="33"/>
  </w:num>
  <w:num w:numId="11">
    <w:abstractNumId w:val="12"/>
  </w:num>
  <w:num w:numId="12">
    <w:abstractNumId w:val="5"/>
  </w:num>
  <w:num w:numId="13">
    <w:abstractNumId w:val="19"/>
  </w:num>
  <w:num w:numId="14">
    <w:abstractNumId w:val="29"/>
  </w:num>
  <w:num w:numId="15">
    <w:abstractNumId w:val="7"/>
  </w:num>
  <w:num w:numId="16">
    <w:abstractNumId w:val="6"/>
  </w:num>
  <w:num w:numId="17">
    <w:abstractNumId w:val="34"/>
  </w:num>
  <w:num w:numId="18">
    <w:abstractNumId w:val="16"/>
  </w:num>
  <w:num w:numId="19">
    <w:abstractNumId w:val="23"/>
  </w:num>
  <w:num w:numId="20">
    <w:abstractNumId w:val="21"/>
  </w:num>
  <w:num w:numId="21">
    <w:abstractNumId w:val="0"/>
  </w:num>
  <w:num w:numId="22">
    <w:abstractNumId w:val="9"/>
  </w:num>
  <w:num w:numId="23">
    <w:abstractNumId w:val="28"/>
  </w:num>
  <w:num w:numId="24">
    <w:abstractNumId w:val="22"/>
  </w:num>
  <w:num w:numId="25">
    <w:abstractNumId w:val="2"/>
  </w:num>
  <w:num w:numId="26">
    <w:abstractNumId w:val="4"/>
  </w:num>
  <w:num w:numId="27">
    <w:abstractNumId w:val="26"/>
  </w:num>
  <w:num w:numId="28">
    <w:abstractNumId w:val="36"/>
  </w:num>
  <w:num w:numId="29">
    <w:abstractNumId w:val="18"/>
  </w:num>
  <w:num w:numId="30">
    <w:abstractNumId w:val="27"/>
  </w:num>
  <w:num w:numId="31">
    <w:abstractNumId w:val="37"/>
  </w:num>
  <w:num w:numId="32">
    <w:abstractNumId w:val="13"/>
  </w:num>
  <w:num w:numId="33">
    <w:abstractNumId w:val="17"/>
  </w:num>
  <w:num w:numId="34">
    <w:abstractNumId w:val="3"/>
  </w:num>
  <w:num w:numId="35">
    <w:abstractNumId w:val="24"/>
  </w:num>
  <w:num w:numId="36">
    <w:abstractNumId w:val="15"/>
  </w:num>
  <w:num w:numId="37">
    <w:abstractNumId w:val="32"/>
  </w:num>
  <w:num w:numId="38">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09"/>
    <w:rsid w:val="00002C8B"/>
    <w:rsid w:val="000048DF"/>
    <w:rsid w:val="0001367A"/>
    <w:rsid w:val="00024D94"/>
    <w:rsid w:val="00026407"/>
    <w:rsid w:val="00033595"/>
    <w:rsid w:val="000406EA"/>
    <w:rsid w:val="0004376E"/>
    <w:rsid w:val="00046C63"/>
    <w:rsid w:val="00055449"/>
    <w:rsid w:val="00055589"/>
    <w:rsid w:val="00062218"/>
    <w:rsid w:val="00062B21"/>
    <w:rsid w:val="00076962"/>
    <w:rsid w:val="00076F8D"/>
    <w:rsid w:val="000770B1"/>
    <w:rsid w:val="000838B1"/>
    <w:rsid w:val="0009125F"/>
    <w:rsid w:val="0009250D"/>
    <w:rsid w:val="000A19A9"/>
    <w:rsid w:val="000B0A62"/>
    <w:rsid w:val="000B1F44"/>
    <w:rsid w:val="000C532A"/>
    <w:rsid w:val="000C5DEF"/>
    <w:rsid w:val="000D3E1D"/>
    <w:rsid w:val="000D445F"/>
    <w:rsid w:val="000D5EE0"/>
    <w:rsid w:val="000E358A"/>
    <w:rsid w:val="001000E7"/>
    <w:rsid w:val="001005C2"/>
    <w:rsid w:val="00102511"/>
    <w:rsid w:val="001040D3"/>
    <w:rsid w:val="00107ABE"/>
    <w:rsid w:val="00110BB9"/>
    <w:rsid w:val="0011130B"/>
    <w:rsid w:val="00114406"/>
    <w:rsid w:val="0012267F"/>
    <w:rsid w:val="0012461F"/>
    <w:rsid w:val="00132213"/>
    <w:rsid w:val="001415F2"/>
    <w:rsid w:val="00142C8B"/>
    <w:rsid w:val="00145A9F"/>
    <w:rsid w:val="001500E6"/>
    <w:rsid w:val="0015201C"/>
    <w:rsid w:val="00152D35"/>
    <w:rsid w:val="00154F6C"/>
    <w:rsid w:val="001639C3"/>
    <w:rsid w:val="0017133A"/>
    <w:rsid w:val="00172651"/>
    <w:rsid w:val="001742A3"/>
    <w:rsid w:val="00175092"/>
    <w:rsid w:val="00175E5C"/>
    <w:rsid w:val="00180843"/>
    <w:rsid w:val="001878FF"/>
    <w:rsid w:val="00187B2F"/>
    <w:rsid w:val="00191765"/>
    <w:rsid w:val="00194625"/>
    <w:rsid w:val="00195CE8"/>
    <w:rsid w:val="00195E1B"/>
    <w:rsid w:val="001961C2"/>
    <w:rsid w:val="001B22F0"/>
    <w:rsid w:val="001B4D47"/>
    <w:rsid w:val="001B583C"/>
    <w:rsid w:val="001B64C5"/>
    <w:rsid w:val="001B6790"/>
    <w:rsid w:val="001C374D"/>
    <w:rsid w:val="001C4B3D"/>
    <w:rsid w:val="001C74AE"/>
    <w:rsid w:val="001D0DAB"/>
    <w:rsid w:val="001E0B07"/>
    <w:rsid w:val="001F22E3"/>
    <w:rsid w:val="001F4869"/>
    <w:rsid w:val="00207A7B"/>
    <w:rsid w:val="002164E5"/>
    <w:rsid w:val="00216A37"/>
    <w:rsid w:val="002207D2"/>
    <w:rsid w:val="00220FF2"/>
    <w:rsid w:val="00227CAD"/>
    <w:rsid w:val="002366C9"/>
    <w:rsid w:val="00237238"/>
    <w:rsid w:val="0023783F"/>
    <w:rsid w:val="00261C36"/>
    <w:rsid w:val="002634C7"/>
    <w:rsid w:val="00266016"/>
    <w:rsid w:val="002717E1"/>
    <w:rsid w:val="00272DB0"/>
    <w:rsid w:val="00273BEF"/>
    <w:rsid w:val="00274388"/>
    <w:rsid w:val="0028212F"/>
    <w:rsid w:val="00284CF1"/>
    <w:rsid w:val="00292FCD"/>
    <w:rsid w:val="00293DE2"/>
    <w:rsid w:val="00294698"/>
    <w:rsid w:val="00295C8A"/>
    <w:rsid w:val="002A2224"/>
    <w:rsid w:val="002A7C98"/>
    <w:rsid w:val="002B2F8D"/>
    <w:rsid w:val="002B31B1"/>
    <w:rsid w:val="002B6A01"/>
    <w:rsid w:val="002C0798"/>
    <w:rsid w:val="002C090B"/>
    <w:rsid w:val="002C33EA"/>
    <w:rsid w:val="002C6855"/>
    <w:rsid w:val="002D0571"/>
    <w:rsid w:val="002D3CD3"/>
    <w:rsid w:val="002D4C56"/>
    <w:rsid w:val="002E0E74"/>
    <w:rsid w:val="002E31DD"/>
    <w:rsid w:val="002E4CC4"/>
    <w:rsid w:val="002E5658"/>
    <w:rsid w:val="00301BD4"/>
    <w:rsid w:val="00302FC9"/>
    <w:rsid w:val="00306F83"/>
    <w:rsid w:val="00320EC9"/>
    <w:rsid w:val="0032289C"/>
    <w:rsid w:val="00322946"/>
    <w:rsid w:val="00322F3A"/>
    <w:rsid w:val="0032382A"/>
    <w:rsid w:val="00325119"/>
    <w:rsid w:val="00326C11"/>
    <w:rsid w:val="0032704F"/>
    <w:rsid w:val="003317EA"/>
    <w:rsid w:val="0034103F"/>
    <w:rsid w:val="00344B08"/>
    <w:rsid w:val="003527D7"/>
    <w:rsid w:val="00355C89"/>
    <w:rsid w:val="00355C8A"/>
    <w:rsid w:val="00356034"/>
    <w:rsid w:val="00356164"/>
    <w:rsid w:val="00360B6A"/>
    <w:rsid w:val="003627DB"/>
    <w:rsid w:val="00364801"/>
    <w:rsid w:val="00372FCC"/>
    <w:rsid w:val="00376221"/>
    <w:rsid w:val="003773B2"/>
    <w:rsid w:val="003806E0"/>
    <w:rsid w:val="00384E10"/>
    <w:rsid w:val="003908B7"/>
    <w:rsid w:val="00395F4B"/>
    <w:rsid w:val="00396591"/>
    <w:rsid w:val="003A6437"/>
    <w:rsid w:val="003B1500"/>
    <w:rsid w:val="003B20C5"/>
    <w:rsid w:val="003B3387"/>
    <w:rsid w:val="003B5217"/>
    <w:rsid w:val="003B7E42"/>
    <w:rsid w:val="003C3E97"/>
    <w:rsid w:val="003C6BF5"/>
    <w:rsid w:val="003C7E2F"/>
    <w:rsid w:val="003D0E4D"/>
    <w:rsid w:val="003D3B34"/>
    <w:rsid w:val="003D6568"/>
    <w:rsid w:val="003D7A90"/>
    <w:rsid w:val="003E3A79"/>
    <w:rsid w:val="003E3F45"/>
    <w:rsid w:val="003F0553"/>
    <w:rsid w:val="003F2DDE"/>
    <w:rsid w:val="003F4444"/>
    <w:rsid w:val="003F4EB9"/>
    <w:rsid w:val="0040086A"/>
    <w:rsid w:val="00401E13"/>
    <w:rsid w:val="00410ECD"/>
    <w:rsid w:val="00415551"/>
    <w:rsid w:val="00424122"/>
    <w:rsid w:val="0043260D"/>
    <w:rsid w:val="004477DF"/>
    <w:rsid w:val="00450EDC"/>
    <w:rsid w:val="00455DAE"/>
    <w:rsid w:val="00461BE8"/>
    <w:rsid w:val="004638DF"/>
    <w:rsid w:val="00465898"/>
    <w:rsid w:val="00466CDB"/>
    <w:rsid w:val="00467C3E"/>
    <w:rsid w:val="00471047"/>
    <w:rsid w:val="004753F8"/>
    <w:rsid w:val="00477F89"/>
    <w:rsid w:val="004946E5"/>
    <w:rsid w:val="00494C68"/>
    <w:rsid w:val="0049514F"/>
    <w:rsid w:val="00495682"/>
    <w:rsid w:val="004974C9"/>
    <w:rsid w:val="004A2681"/>
    <w:rsid w:val="004A6ED1"/>
    <w:rsid w:val="004B1A72"/>
    <w:rsid w:val="004B6808"/>
    <w:rsid w:val="004C2302"/>
    <w:rsid w:val="004C34A2"/>
    <w:rsid w:val="004C4624"/>
    <w:rsid w:val="004C607F"/>
    <w:rsid w:val="004D1B24"/>
    <w:rsid w:val="004E1D9B"/>
    <w:rsid w:val="004E62AF"/>
    <w:rsid w:val="004F1CC7"/>
    <w:rsid w:val="00501CB2"/>
    <w:rsid w:val="00504385"/>
    <w:rsid w:val="0050573A"/>
    <w:rsid w:val="0051139D"/>
    <w:rsid w:val="00513F48"/>
    <w:rsid w:val="00514F09"/>
    <w:rsid w:val="00523699"/>
    <w:rsid w:val="00524028"/>
    <w:rsid w:val="00525619"/>
    <w:rsid w:val="00525855"/>
    <w:rsid w:val="00530F80"/>
    <w:rsid w:val="00536DD7"/>
    <w:rsid w:val="005372B7"/>
    <w:rsid w:val="0054030F"/>
    <w:rsid w:val="0054033E"/>
    <w:rsid w:val="00544F17"/>
    <w:rsid w:val="005473B1"/>
    <w:rsid w:val="00556DB9"/>
    <w:rsid w:val="005659CB"/>
    <w:rsid w:val="00570DC9"/>
    <w:rsid w:val="00571C79"/>
    <w:rsid w:val="00575421"/>
    <w:rsid w:val="00577EAB"/>
    <w:rsid w:val="005822CD"/>
    <w:rsid w:val="00585C56"/>
    <w:rsid w:val="005907CD"/>
    <w:rsid w:val="00592E7F"/>
    <w:rsid w:val="00594AAF"/>
    <w:rsid w:val="005A4EF6"/>
    <w:rsid w:val="005B307E"/>
    <w:rsid w:val="005C7A22"/>
    <w:rsid w:val="005D07CD"/>
    <w:rsid w:val="005D1EA7"/>
    <w:rsid w:val="005D3851"/>
    <w:rsid w:val="005D5196"/>
    <w:rsid w:val="005F1B49"/>
    <w:rsid w:val="005F4BB0"/>
    <w:rsid w:val="005F4ECE"/>
    <w:rsid w:val="006016DF"/>
    <w:rsid w:val="00604E17"/>
    <w:rsid w:val="00610007"/>
    <w:rsid w:val="00611670"/>
    <w:rsid w:val="00612912"/>
    <w:rsid w:val="00617C13"/>
    <w:rsid w:val="006217DD"/>
    <w:rsid w:val="006218EB"/>
    <w:rsid w:val="00625071"/>
    <w:rsid w:val="00630701"/>
    <w:rsid w:val="00630B45"/>
    <w:rsid w:val="00652677"/>
    <w:rsid w:val="00653624"/>
    <w:rsid w:val="00657C61"/>
    <w:rsid w:val="0066554F"/>
    <w:rsid w:val="006655A6"/>
    <w:rsid w:val="00666AA4"/>
    <w:rsid w:val="006737F8"/>
    <w:rsid w:val="00676801"/>
    <w:rsid w:val="00677ADE"/>
    <w:rsid w:val="00684884"/>
    <w:rsid w:val="00687947"/>
    <w:rsid w:val="00690DC1"/>
    <w:rsid w:val="00694789"/>
    <w:rsid w:val="00697B2A"/>
    <w:rsid w:val="006A0CCD"/>
    <w:rsid w:val="006A4B6D"/>
    <w:rsid w:val="006B39F5"/>
    <w:rsid w:val="006B594B"/>
    <w:rsid w:val="006C1200"/>
    <w:rsid w:val="006C57BD"/>
    <w:rsid w:val="006C6209"/>
    <w:rsid w:val="006D1BF5"/>
    <w:rsid w:val="006D67FD"/>
    <w:rsid w:val="006E495F"/>
    <w:rsid w:val="006F7FF7"/>
    <w:rsid w:val="00703043"/>
    <w:rsid w:val="00703541"/>
    <w:rsid w:val="00710AE3"/>
    <w:rsid w:val="00714AD2"/>
    <w:rsid w:val="00716285"/>
    <w:rsid w:val="007174A4"/>
    <w:rsid w:val="00723949"/>
    <w:rsid w:val="0072652F"/>
    <w:rsid w:val="00730C4B"/>
    <w:rsid w:val="007344A5"/>
    <w:rsid w:val="00737595"/>
    <w:rsid w:val="00740372"/>
    <w:rsid w:val="00762E34"/>
    <w:rsid w:val="00765E13"/>
    <w:rsid w:val="00765F43"/>
    <w:rsid w:val="007708D1"/>
    <w:rsid w:val="00773785"/>
    <w:rsid w:val="00780B6C"/>
    <w:rsid w:val="00783F2C"/>
    <w:rsid w:val="00784066"/>
    <w:rsid w:val="007870AC"/>
    <w:rsid w:val="007A1637"/>
    <w:rsid w:val="007A76A6"/>
    <w:rsid w:val="007B608F"/>
    <w:rsid w:val="007C0143"/>
    <w:rsid w:val="007C4F44"/>
    <w:rsid w:val="007C74F8"/>
    <w:rsid w:val="007D06B8"/>
    <w:rsid w:val="007D41F1"/>
    <w:rsid w:val="0080189D"/>
    <w:rsid w:val="008073F5"/>
    <w:rsid w:val="00812968"/>
    <w:rsid w:val="0081540D"/>
    <w:rsid w:val="00824A9D"/>
    <w:rsid w:val="00825D0E"/>
    <w:rsid w:val="008322BC"/>
    <w:rsid w:val="008345C1"/>
    <w:rsid w:val="008367F8"/>
    <w:rsid w:val="0084380D"/>
    <w:rsid w:val="00860538"/>
    <w:rsid w:val="00866652"/>
    <w:rsid w:val="008676E1"/>
    <w:rsid w:val="00874A08"/>
    <w:rsid w:val="008802E0"/>
    <w:rsid w:val="0088108E"/>
    <w:rsid w:val="0088587B"/>
    <w:rsid w:val="008914C7"/>
    <w:rsid w:val="008A7172"/>
    <w:rsid w:val="008B0C1A"/>
    <w:rsid w:val="008B11D5"/>
    <w:rsid w:val="008B6AE5"/>
    <w:rsid w:val="008B764C"/>
    <w:rsid w:val="008C45E4"/>
    <w:rsid w:val="008D110F"/>
    <w:rsid w:val="008D210E"/>
    <w:rsid w:val="008D4E61"/>
    <w:rsid w:val="008E2290"/>
    <w:rsid w:val="008E40FA"/>
    <w:rsid w:val="008E6D53"/>
    <w:rsid w:val="008E7B1B"/>
    <w:rsid w:val="00901722"/>
    <w:rsid w:val="009032CA"/>
    <w:rsid w:val="00910412"/>
    <w:rsid w:val="00915F18"/>
    <w:rsid w:val="00921CF5"/>
    <w:rsid w:val="009310C0"/>
    <w:rsid w:val="00934A98"/>
    <w:rsid w:val="00940352"/>
    <w:rsid w:val="00941442"/>
    <w:rsid w:val="009414D7"/>
    <w:rsid w:val="009440A0"/>
    <w:rsid w:val="00946B47"/>
    <w:rsid w:val="00952C9D"/>
    <w:rsid w:val="00956219"/>
    <w:rsid w:val="00956A22"/>
    <w:rsid w:val="009659EE"/>
    <w:rsid w:val="00966C79"/>
    <w:rsid w:val="00974DAA"/>
    <w:rsid w:val="00976ECC"/>
    <w:rsid w:val="00984E94"/>
    <w:rsid w:val="00987F43"/>
    <w:rsid w:val="009915CF"/>
    <w:rsid w:val="009A1DAE"/>
    <w:rsid w:val="009A29DE"/>
    <w:rsid w:val="009A60A5"/>
    <w:rsid w:val="009A7B4A"/>
    <w:rsid w:val="009B005D"/>
    <w:rsid w:val="009B431A"/>
    <w:rsid w:val="009B65B4"/>
    <w:rsid w:val="009B6943"/>
    <w:rsid w:val="009C0009"/>
    <w:rsid w:val="009C15F7"/>
    <w:rsid w:val="009C474B"/>
    <w:rsid w:val="009C572A"/>
    <w:rsid w:val="009D1141"/>
    <w:rsid w:val="009D5BDD"/>
    <w:rsid w:val="009E7793"/>
    <w:rsid w:val="009F0BC1"/>
    <w:rsid w:val="009F4569"/>
    <w:rsid w:val="009F4A8E"/>
    <w:rsid w:val="00A01EC1"/>
    <w:rsid w:val="00A13509"/>
    <w:rsid w:val="00A21808"/>
    <w:rsid w:val="00A21F55"/>
    <w:rsid w:val="00A264FA"/>
    <w:rsid w:val="00A27C38"/>
    <w:rsid w:val="00A37A07"/>
    <w:rsid w:val="00A5572F"/>
    <w:rsid w:val="00A61831"/>
    <w:rsid w:val="00A62A28"/>
    <w:rsid w:val="00A65001"/>
    <w:rsid w:val="00A66B93"/>
    <w:rsid w:val="00A72393"/>
    <w:rsid w:val="00A73F9C"/>
    <w:rsid w:val="00A80E58"/>
    <w:rsid w:val="00A83974"/>
    <w:rsid w:val="00A94F9F"/>
    <w:rsid w:val="00A96A7A"/>
    <w:rsid w:val="00A97266"/>
    <w:rsid w:val="00AA125E"/>
    <w:rsid w:val="00AA330B"/>
    <w:rsid w:val="00AA335D"/>
    <w:rsid w:val="00AA5F29"/>
    <w:rsid w:val="00AA6E35"/>
    <w:rsid w:val="00AA7058"/>
    <w:rsid w:val="00AB0740"/>
    <w:rsid w:val="00AB1EA3"/>
    <w:rsid w:val="00AC08E3"/>
    <w:rsid w:val="00AC5854"/>
    <w:rsid w:val="00AC5E1A"/>
    <w:rsid w:val="00AD0BF8"/>
    <w:rsid w:val="00AD0FDE"/>
    <w:rsid w:val="00AD4B22"/>
    <w:rsid w:val="00AE0AD3"/>
    <w:rsid w:val="00AF1EFD"/>
    <w:rsid w:val="00B04750"/>
    <w:rsid w:val="00B04799"/>
    <w:rsid w:val="00B063F0"/>
    <w:rsid w:val="00B3522B"/>
    <w:rsid w:val="00B41AE6"/>
    <w:rsid w:val="00B51116"/>
    <w:rsid w:val="00B52056"/>
    <w:rsid w:val="00B54830"/>
    <w:rsid w:val="00B561E1"/>
    <w:rsid w:val="00B57C0D"/>
    <w:rsid w:val="00B70329"/>
    <w:rsid w:val="00B70616"/>
    <w:rsid w:val="00B72003"/>
    <w:rsid w:val="00B755D3"/>
    <w:rsid w:val="00B77FFC"/>
    <w:rsid w:val="00B80DD9"/>
    <w:rsid w:val="00B83C1F"/>
    <w:rsid w:val="00B879B5"/>
    <w:rsid w:val="00B90159"/>
    <w:rsid w:val="00B93D4D"/>
    <w:rsid w:val="00BA6445"/>
    <w:rsid w:val="00BA786E"/>
    <w:rsid w:val="00BB0B0F"/>
    <w:rsid w:val="00BB38FD"/>
    <w:rsid w:val="00BB6AAF"/>
    <w:rsid w:val="00BC0602"/>
    <w:rsid w:val="00BC4399"/>
    <w:rsid w:val="00BD17E9"/>
    <w:rsid w:val="00BD4A7B"/>
    <w:rsid w:val="00BE209F"/>
    <w:rsid w:val="00BE4674"/>
    <w:rsid w:val="00BE4B7A"/>
    <w:rsid w:val="00BF1F71"/>
    <w:rsid w:val="00BF5499"/>
    <w:rsid w:val="00BF70B7"/>
    <w:rsid w:val="00BF715E"/>
    <w:rsid w:val="00C01F88"/>
    <w:rsid w:val="00C068A4"/>
    <w:rsid w:val="00C06ECA"/>
    <w:rsid w:val="00C11F46"/>
    <w:rsid w:val="00C1203A"/>
    <w:rsid w:val="00C1257A"/>
    <w:rsid w:val="00C126F4"/>
    <w:rsid w:val="00C13601"/>
    <w:rsid w:val="00C15702"/>
    <w:rsid w:val="00C20797"/>
    <w:rsid w:val="00C224C4"/>
    <w:rsid w:val="00C22572"/>
    <w:rsid w:val="00C22759"/>
    <w:rsid w:val="00C2310D"/>
    <w:rsid w:val="00C27623"/>
    <w:rsid w:val="00C27DFA"/>
    <w:rsid w:val="00C307D5"/>
    <w:rsid w:val="00C43FC5"/>
    <w:rsid w:val="00C52061"/>
    <w:rsid w:val="00C52C56"/>
    <w:rsid w:val="00C56498"/>
    <w:rsid w:val="00C57FAC"/>
    <w:rsid w:val="00C62FD1"/>
    <w:rsid w:val="00C6750B"/>
    <w:rsid w:val="00C70167"/>
    <w:rsid w:val="00C7204E"/>
    <w:rsid w:val="00C75E32"/>
    <w:rsid w:val="00C80E22"/>
    <w:rsid w:val="00C87291"/>
    <w:rsid w:val="00C9439D"/>
    <w:rsid w:val="00C97750"/>
    <w:rsid w:val="00CA2124"/>
    <w:rsid w:val="00CA3EEE"/>
    <w:rsid w:val="00CA5BAD"/>
    <w:rsid w:val="00CB387F"/>
    <w:rsid w:val="00CB3E30"/>
    <w:rsid w:val="00CB7A4F"/>
    <w:rsid w:val="00CB7CA0"/>
    <w:rsid w:val="00CB7F01"/>
    <w:rsid w:val="00CC1781"/>
    <w:rsid w:val="00CC6449"/>
    <w:rsid w:val="00CC7CCD"/>
    <w:rsid w:val="00CD3CFE"/>
    <w:rsid w:val="00CD544D"/>
    <w:rsid w:val="00CD6133"/>
    <w:rsid w:val="00CD746D"/>
    <w:rsid w:val="00CE1176"/>
    <w:rsid w:val="00CE3746"/>
    <w:rsid w:val="00CE39AE"/>
    <w:rsid w:val="00CF0189"/>
    <w:rsid w:val="00CF20F4"/>
    <w:rsid w:val="00D02960"/>
    <w:rsid w:val="00D05452"/>
    <w:rsid w:val="00D06298"/>
    <w:rsid w:val="00D06A2C"/>
    <w:rsid w:val="00D06DFD"/>
    <w:rsid w:val="00D10035"/>
    <w:rsid w:val="00D20622"/>
    <w:rsid w:val="00D343A5"/>
    <w:rsid w:val="00D35106"/>
    <w:rsid w:val="00D42E5D"/>
    <w:rsid w:val="00D4429F"/>
    <w:rsid w:val="00D475AB"/>
    <w:rsid w:val="00D47C12"/>
    <w:rsid w:val="00D50F82"/>
    <w:rsid w:val="00D528EF"/>
    <w:rsid w:val="00D53190"/>
    <w:rsid w:val="00D54EBA"/>
    <w:rsid w:val="00D574B9"/>
    <w:rsid w:val="00D64DCC"/>
    <w:rsid w:val="00D6641D"/>
    <w:rsid w:val="00D74758"/>
    <w:rsid w:val="00D75E7A"/>
    <w:rsid w:val="00D76F9F"/>
    <w:rsid w:val="00D82A49"/>
    <w:rsid w:val="00D90E5C"/>
    <w:rsid w:val="00D92EDB"/>
    <w:rsid w:val="00D932EF"/>
    <w:rsid w:val="00D9457B"/>
    <w:rsid w:val="00D96C90"/>
    <w:rsid w:val="00D977F2"/>
    <w:rsid w:val="00DA0ED0"/>
    <w:rsid w:val="00DA2803"/>
    <w:rsid w:val="00DA29F9"/>
    <w:rsid w:val="00DA2E5D"/>
    <w:rsid w:val="00DA70AE"/>
    <w:rsid w:val="00DA7704"/>
    <w:rsid w:val="00DB0283"/>
    <w:rsid w:val="00DB18FD"/>
    <w:rsid w:val="00DB1F90"/>
    <w:rsid w:val="00DB69D2"/>
    <w:rsid w:val="00DB7414"/>
    <w:rsid w:val="00DC1D12"/>
    <w:rsid w:val="00DC210B"/>
    <w:rsid w:val="00DD5266"/>
    <w:rsid w:val="00DD5F68"/>
    <w:rsid w:val="00DD7107"/>
    <w:rsid w:val="00DD7F20"/>
    <w:rsid w:val="00DE470A"/>
    <w:rsid w:val="00DE6292"/>
    <w:rsid w:val="00DF3D37"/>
    <w:rsid w:val="00DF783E"/>
    <w:rsid w:val="00E052F4"/>
    <w:rsid w:val="00E059AF"/>
    <w:rsid w:val="00E1478F"/>
    <w:rsid w:val="00E1672E"/>
    <w:rsid w:val="00E247EE"/>
    <w:rsid w:val="00E2514D"/>
    <w:rsid w:val="00E32B90"/>
    <w:rsid w:val="00E361AC"/>
    <w:rsid w:val="00E42193"/>
    <w:rsid w:val="00E447C6"/>
    <w:rsid w:val="00E44C36"/>
    <w:rsid w:val="00E455EC"/>
    <w:rsid w:val="00E47EFE"/>
    <w:rsid w:val="00E60EAF"/>
    <w:rsid w:val="00E6463C"/>
    <w:rsid w:val="00E65D0F"/>
    <w:rsid w:val="00E66217"/>
    <w:rsid w:val="00E67B53"/>
    <w:rsid w:val="00E7196E"/>
    <w:rsid w:val="00E8112F"/>
    <w:rsid w:val="00E84901"/>
    <w:rsid w:val="00E91064"/>
    <w:rsid w:val="00E91A27"/>
    <w:rsid w:val="00E92EB5"/>
    <w:rsid w:val="00E94E54"/>
    <w:rsid w:val="00E975F5"/>
    <w:rsid w:val="00EA21B7"/>
    <w:rsid w:val="00EB61EB"/>
    <w:rsid w:val="00EC225B"/>
    <w:rsid w:val="00EC65D8"/>
    <w:rsid w:val="00ED47F2"/>
    <w:rsid w:val="00ED531A"/>
    <w:rsid w:val="00ED7EDD"/>
    <w:rsid w:val="00EE28A7"/>
    <w:rsid w:val="00EE4D73"/>
    <w:rsid w:val="00EF175A"/>
    <w:rsid w:val="00EF458F"/>
    <w:rsid w:val="00EF7F60"/>
    <w:rsid w:val="00F03E1B"/>
    <w:rsid w:val="00F06639"/>
    <w:rsid w:val="00F06662"/>
    <w:rsid w:val="00F078BB"/>
    <w:rsid w:val="00F27C6C"/>
    <w:rsid w:val="00F30A64"/>
    <w:rsid w:val="00F35218"/>
    <w:rsid w:val="00F37E42"/>
    <w:rsid w:val="00F6100A"/>
    <w:rsid w:val="00F612C4"/>
    <w:rsid w:val="00F631E9"/>
    <w:rsid w:val="00F77872"/>
    <w:rsid w:val="00F77E42"/>
    <w:rsid w:val="00F806F8"/>
    <w:rsid w:val="00F833C8"/>
    <w:rsid w:val="00F914E7"/>
    <w:rsid w:val="00F9187D"/>
    <w:rsid w:val="00F94BDC"/>
    <w:rsid w:val="00F95476"/>
    <w:rsid w:val="00FA1BF6"/>
    <w:rsid w:val="00FA4CA8"/>
    <w:rsid w:val="00FB0B3A"/>
    <w:rsid w:val="00FB29EF"/>
    <w:rsid w:val="00FB3F6A"/>
    <w:rsid w:val="00FC1A61"/>
    <w:rsid w:val="00FD5823"/>
    <w:rsid w:val="00FE2CF2"/>
    <w:rsid w:val="00FE3200"/>
    <w:rsid w:val="00FE601D"/>
    <w:rsid w:val="00FE67F5"/>
    <w:rsid w:val="00FE7BBA"/>
    <w:rsid w:val="00FF4796"/>
    <w:rsid w:val="00FF675A"/>
    <w:rsid w:val="00FF7D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53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009"/>
    <w:pPr>
      <w:tabs>
        <w:tab w:val="center" w:pos="4153"/>
        <w:tab w:val="right" w:pos="8306"/>
      </w:tabs>
      <w:snapToGrid w:val="0"/>
    </w:pPr>
    <w:rPr>
      <w:sz w:val="20"/>
      <w:szCs w:val="20"/>
    </w:rPr>
  </w:style>
  <w:style w:type="character" w:customStyle="1" w:styleId="a4">
    <w:name w:val="頁首 字元"/>
    <w:basedOn w:val="a0"/>
    <w:link w:val="a3"/>
    <w:uiPriority w:val="99"/>
    <w:rsid w:val="009C0009"/>
    <w:rPr>
      <w:sz w:val="20"/>
      <w:szCs w:val="20"/>
    </w:rPr>
  </w:style>
  <w:style w:type="paragraph" w:styleId="a5">
    <w:name w:val="footer"/>
    <w:basedOn w:val="a"/>
    <w:link w:val="a6"/>
    <w:uiPriority w:val="99"/>
    <w:unhideWhenUsed/>
    <w:rsid w:val="009C0009"/>
    <w:pPr>
      <w:tabs>
        <w:tab w:val="center" w:pos="4153"/>
        <w:tab w:val="right" w:pos="8306"/>
      </w:tabs>
      <w:snapToGrid w:val="0"/>
    </w:pPr>
    <w:rPr>
      <w:sz w:val="20"/>
      <w:szCs w:val="20"/>
    </w:rPr>
  </w:style>
  <w:style w:type="character" w:customStyle="1" w:styleId="a6">
    <w:name w:val="頁尾 字元"/>
    <w:basedOn w:val="a0"/>
    <w:link w:val="a5"/>
    <w:uiPriority w:val="99"/>
    <w:rsid w:val="009C0009"/>
    <w:rPr>
      <w:sz w:val="20"/>
      <w:szCs w:val="20"/>
    </w:rPr>
  </w:style>
  <w:style w:type="paragraph" w:styleId="a7">
    <w:name w:val="List Paragraph"/>
    <w:basedOn w:val="a"/>
    <w:uiPriority w:val="34"/>
    <w:qFormat/>
    <w:rsid w:val="00372FCC"/>
    <w:pPr>
      <w:ind w:leftChars="200" w:left="480"/>
    </w:pPr>
  </w:style>
  <w:style w:type="paragraph" w:styleId="a8">
    <w:name w:val="Balloon Text"/>
    <w:basedOn w:val="a"/>
    <w:link w:val="a9"/>
    <w:uiPriority w:val="99"/>
    <w:semiHidden/>
    <w:unhideWhenUsed/>
    <w:rsid w:val="00187B2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87B2F"/>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1B4D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4D47"/>
    <w:rPr>
      <w:rFonts w:ascii="細明體" w:eastAsia="細明體" w:hAnsi="細明體" w:cs="細明體"/>
      <w:kern w:val="0"/>
      <w:szCs w:val="24"/>
    </w:rPr>
  </w:style>
  <w:style w:type="paragraph" w:styleId="aa">
    <w:name w:val="Revision"/>
    <w:hidden/>
    <w:uiPriority w:val="99"/>
    <w:semiHidden/>
    <w:rsid w:val="00DA0ED0"/>
  </w:style>
  <w:style w:type="paragraph" w:customStyle="1" w:styleId="1">
    <w:name w:val="1項"/>
    <w:basedOn w:val="a"/>
    <w:rsid w:val="002D0571"/>
    <w:pPr>
      <w:ind w:left="240" w:hangingChars="100" w:hanging="240"/>
      <w:jc w:val="both"/>
    </w:pPr>
    <w:rPr>
      <w:rFonts w:ascii="標楷體" w:eastAsia="標楷體" w:hAnsi="標楷體" w:cs="新細明體"/>
      <w:szCs w:val="20"/>
    </w:rPr>
  </w:style>
  <w:style w:type="paragraph" w:customStyle="1" w:styleId="10">
    <w:name w:val="1款"/>
    <w:basedOn w:val="a"/>
    <w:rsid w:val="002D0571"/>
    <w:pPr>
      <w:ind w:leftChars="100" w:left="720" w:hangingChars="200" w:hanging="480"/>
      <w:jc w:val="both"/>
    </w:pPr>
    <w:rPr>
      <w:rFonts w:ascii="標楷體" w:eastAsia="標楷體" w:hAnsi="標楷體" w:cs="新細明體"/>
      <w:szCs w:val="20"/>
    </w:rPr>
  </w:style>
  <w:style w:type="paragraph" w:customStyle="1" w:styleId="12">
    <w:name w:val="1項2"/>
    <w:basedOn w:val="a"/>
    <w:rsid w:val="006B39F5"/>
    <w:pPr>
      <w:ind w:leftChars="100" w:left="240" w:firstLineChars="200" w:firstLine="480"/>
      <w:jc w:val="both"/>
    </w:pPr>
    <w:rPr>
      <w:rFonts w:ascii="標楷體" w:eastAsia="標楷體" w:hAnsi="標楷體" w:cs="新細明體"/>
      <w:kern w:val="0"/>
      <w:szCs w:val="20"/>
    </w:rPr>
  </w:style>
  <w:style w:type="table" w:styleId="ab">
    <w:name w:val="Table Grid"/>
    <w:basedOn w:val="a1"/>
    <w:uiPriority w:val="59"/>
    <w:rsid w:val="00DC2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目1"/>
    <w:basedOn w:val="a"/>
    <w:next w:val="a"/>
    <w:rsid w:val="00055449"/>
    <w:pPr>
      <w:kinsoku w:val="0"/>
      <w:overflowPunct w:val="0"/>
      <w:spacing w:line="420" w:lineRule="exact"/>
      <w:ind w:left="100" w:hangingChars="100" w:hanging="100"/>
      <w:jc w:val="both"/>
      <w:textAlignment w:val="center"/>
    </w:pPr>
    <w:rPr>
      <w:rFonts w:ascii="Times New Roman" w:eastAsia="華康細明體" w:hAnsi="Times New Roman" w:cs="Times New Roman"/>
      <w:noProof/>
      <w:sz w:val="21"/>
      <w:szCs w:val="24"/>
    </w:rPr>
  </w:style>
  <w:style w:type="paragraph" w:customStyle="1" w:styleId="Default">
    <w:name w:val="Default"/>
    <w:basedOn w:val="a"/>
    <w:rsid w:val="0032704F"/>
    <w:pPr>
      <w:widowControl/>
      <w:autoSpaceDE w:val="0"/>
      <w:autoSpaceDN w:val="0"/>
    </w:pPr>
    <w:rPr>
      <w:rFonts w:ascii="新細明體" w:eastAsia="新細明體" w:hAnsi="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009"/>
    <w:pPr>
      <w:tabs>
        <w:tab w:val="center" w:pos="4153"/>
        <w:tab w:val="right" w:pos="8306"/>
      </w:tabs>
      <w:snapToGrid w:val="0"/>
    </w:pPr>
    <w:rPr>
      <w:sz w:val="20"/>
      <w:szCs w:val="20"/>
    </w:rPr>
  </w:style>
  <w:style w:type="character" w:customStyle="1" w:styleId="a4">
    <w:name w:val="頁首 字元"/>
    <w:basedOn w:val="a0"/>
    <w:link w:val="a3"/>
    <w:uiPriority w:val="99"/>
    <w:rsid w:val="009C0009"/>
    <w:rPr>
      <w:sz w:val="20"/>
      <w:szCs w:val="20"/>
    </w:rPr>
  </w:style>
  <w:style w:type="paragraph" w:styleId="a5">
    <w:name w:val="footer"/>
    <w:basedOn w:val="a"/>
    <w:link w:val="a6"/>
    <w:uiPriority w:val="99"/>
    <w:unhideWhenUsed/>
    <w:rsid w:val="009C0009"/>
    <w:pPr>
      <w:tabs>
        <w:tab w:val="center" w:pos="4153"/>
        <w:tab w:val="right" w:pos="8306"/>
      </w:tabs>
      <w:snapToGrid w:val="0"/>
    </w:pPr>
    <w:rPr>
      <w:sz w:val="20"/>
      <w:szCs w:val="20"/>
    </w:rPr>
  </w:style>
  <w:style w:type="character" w:customStyle="1" w:styleId="a6">
    <w:name w:val="頁尾 字元"/>
    <w:basedOn w:val="a0"/>
    <w:link w:val="a5"/>
    <w:uiPriority w:val="99"/>
    <w:rsid w:val="009C0009"/>
    <w:rPr>
      <w:sz w:val="20"/>
      <w:szCs w:val="20"/>
    </w:rPr>
  </w:style>
  <w:style w:type="paragraph" w:styleId="a7">
    <w:name w:val="List Paragraph"/>
    <w:basedOn w:val="a"/>
    <w:uiPriority w:val="34"/>
    <w:qFormat/>
    <w:rsid w:val="00372FCC"/>
    <w:pPr>
      <w:ind w:leftChars="200" w:left="480"/>
    </w:pPr>
  </w:style>
  <w:style w:type="paragraph" w:styleId="a8">
    <w:name w:val="Balloon Text"/>
    <w:basedOn w:val="a"/>
    <w:link w:val="a9"/>
    <w:uiPriority w:val="99"/>
    <w:semiHidden/>
    <w:unhideWhenUsed/>
    <w:rsid w:val="00187B2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87B2F"/>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1B4D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4D47"/>
    <w:rPr>
      <w:rFonts w:ascii="細明體" w:eastAsia="細明體" w:hAnsi="細明體" w:cs="細明體"/>
      <w:kern w:val="0"/>
      <w:szCs w:val="24"/>
    </w:rPr>
  </w:style>
  <w:style w:type="paragraph" w:styleId="aa">
    <w:name w:val="Revision"/>
    <w:hidden/>
    <w:uiPriority w:val="99"/>
    <w:semiHidden/>
    <w:rsid w:val="00DA0ED0"/>
  </w:style>
  <w:style w:type="paragraph" w:customStyle="1" w:styleId="1">
    <w:name w:val="1項"/>
    <w:basedOn w:val="a"/>
    <w:rsid w:val="002D0571"/>
    <w:pPr>
      <w:ind w:left="240" w:hangingChars="100" w:hanging="240"/>
      <w:jc w:val="both"/>
    </w:pPr>
    <w:rPr>
      <w:rFonts w:ascii="標楷體" w:eastAsia="標楷體" w:hAnsi="標楷體" w:cs="新細明體"/>
      <w:szCs w:val="20"/>
    </w:rPr>
  </w:style>
  <w:style w:type="paragraph" w:customStyle="1" w:styleId="10">
    <w:name w:val="1款"/>
    <w:basedOn w:val="a"/>
    <w:rsid w:val="002D0571"/>
    <w:pPr>
      <w:ind w:leftChars="100" w:left="720" w:hangingChars="200" w:hanging="480"/>
      <w:jc w:val="both"/>
    </w:pPr>
    <w:rPr>
      <w:rFonts w:ascii="標楷體" w:eastAsia="標楷體" w:hAnsi="標楷體" w:cs="新細明體"/>
      <w:szCs w:val="20"/>
    </w:rPr>
  </w:style>
  <w:style w:type="paragraph" w:customStyle="1" w:styleId="12">
    <w:name w:val="1項2"/>
    <w:basedOn w:val="a"/>
    <w:rsid w:val="006B39F5"/>
    <w:pPr>
      <w:ind w:leftChars="100" w:left="240" w:firstLineChars="200" w:firstLine="480"/>
      <w:jc w:val="both"/>
    </w:pPr>
    <w:rPr>
      <w:rFonts w:ascii="標楷體" w:eastAsia="標楷體" w:hAnsi="標楷體" w:cs="新細明體"/>
      <w:kern w:val="0"/>
      <w:szCs w:val="20"/>
    </w:rPr>
  </w:style>
  <w:style w:type="table" w:styleId="ab">
    <w:name w:val="Table Grid"/>
    <w:basedOn w:val="a1"/>
    <w:uiPriority w:val="59"/>
    <w:rsid w:val="00DC2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目1"/>
    <w:basedOn w:val="a"/>
    <w:next w:val="a"/>
    <w:rsid w:val="00055449"/>
    <w:pPr>
      <w:kinsoku w:val="0"/>
      <w:overflowPunct w:val="0"/>
      <w:spacing w:line="420" w:lineRule="exact"/>
      <w:ind w:left="100" w:hangingChars="100" w:hanging="100"/>
      <w:jc w:val="both"/>
      <w:textAlignment w:val="center"/>
    </w:pPr>
    <w:rPr>
      <w:rFonts w:ascii="Times New Roman" w:eastAsia="華康細明體" w:hAnsi="Times New Roman" w:cs="Times New Roman"/>
      <w:noProof/>
      <w:sz w:val="21"/>
      <w:szCs w:val="24"/>
    </w:rPr>
  </w:style>
  <w:style w:type="paragraph" w:customStyle="1" w:styleId="Default">
    <w:name w:val="Default"/>
    <w:basedOn w:val="a"/>
    <w:rsid w:val="0032704F"/>
    <w:pPr>
      <w:widowControl/>
      <w:autoSpaceDE w:val="0"/>
      <w:autoSpaceDN w:val="0"/>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3268">
      <w:bodyDiv w:val="1"/>
      <w:marLeft w:val="0"/>
      <w:marRight w:val="0"/>
      <w:marTop w:val="0"/>
      <w:marBottom w:val="0"/>
      <w:divBdr>
        <w:top w:val="none" w:sz="0" w:space="0" w:color="auto"/>
        <w:left w:val="none" w:sz="0" w:space="0" w:color="auto"/>
        <w:bottom w:val="none" w:sz="0" w:space="0" w:color="auto"/>
        <w:right w:val="none" w:sz="0" w:space="0" w:color="auto"/>
      </w:divBdr>
    </w:div>
    <w:div w:id="904992100">
      <w:bodyDiv w:val="1"/>
      <w:marLeft w:val="0"/>
      <w:marRight w:val="0"/>
      <w:marTop w:val="0"/>
      <w:marBottom w:val="0"/>
      <w:divBdr>
        <w:top w:val="none" w:sz="0" w:space="0" w:color="auto"/>
        <w:left w:val="none" w:sz="0" w:space="0" w:color="auto"/>
        <w:bottom w:val="none" w:sz="0" w:space="0" w:color="auto"/>
        <w:right w:val="none" w:sz="0" w:space="0" w:color="auto"/>
      </w:divBdr>
    </w:div>
    <w:div w:id="1211527832">
      <w:bodyDiv w:val="1"/>
      <w:marLeft w:val="0"/>
      <w:marRight w:val="0"/>
      <w:marTop w:val="0"/>
      <w:marBottom w:val="0"/>
      <w:divBdr>
        <w:top w:val="none" w:sz="0" w:space="0" w:color="auto"/>
        <w:left w:val="none" w:sz="0" w:space="0" w:color="auto"/>
        <w:bottom w:val="none" w:sz="0" w:space="0" w:color="auto"/>
        <w:right w:val="none" w:sz="0" w:space="0" w:color="auto"/>
      </w:divBdr>
    </w:div>
    <w:div w:id="1391805482">
      <w:bodyDiv w:val="1"/>
      <w:marLeft w:val="0"/>
      <w:marRight w:val="0"/>
      <w:marTop w:val="0"/>
      <w:marBottom w:val="0"/>
      <w:divBdr>
        <w:top w:val="none" w:sz="0" w:space="0" w:color="auto"/>
        <w:left w:val="none" w:sz="0" w:space="0" w:color="auto"/>
        <w:bottom w:val="none" w:sz="0" w:space="0" w:color="auto"/>
        <w:right w:val="none" w:sz="0" w:space="0" w:color="auto"/>
      </w:divBdr>
    </w:div>
    <w:div w:id="1702315679">
      <w:bodyDiv w:val="1"/>
      <w:marLeft w:val="0"/>
      <w:marRight w:val="0"/>
      <w:marTop w:val="0"/>
      <w:marBottom w:val="0"/>
      <w:divBdr>
        <w:top w:val="none" w:sz="0" w:space="0" w:color="auto"/>
        <w:left w:val="none" w:sz="0" w:space="0" w:color="auto"/>
        <w:bottom w:val="none" w:sz="0" w:space="0" w:color="auto"/>
        <w:right w:val="none" w:sz="0" w:space="0" w:color="auto"/>
      </w:divBdr>
    </w:div>
    <w:div w:id="1760638807">
      <w:bodyDiv w:val="1"/>
      <w:marLeft w:val="0"/>
      <w:marRight w:val="0"/>
      <w:marTop w:val="0"/>
      <w:marBottom w:val="0"/>
      <w:divBdr>
        <w:top w:val="none" w:sz="0" w:space="0" w:color="auto"/>
        <w:left w:val="none" w:sz="0" w:space="0" w:color="auto"/>
        <w:bottom w:val="none" w:sz="0" w:space="0" w:color="auto"/>
        <w:right w:val="none" w:sz="0" w:space="0" w:color="auto"/>
      </w:divBdr>
    </w:div>
    <w:div w:id="17647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4E23-771D-43F1-9DA8-D000EF29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1340</Words>
  <Characters>7643</Characters>
  <Application>Microsoft Office Word</Application>
  <DocSecurity>0</DocSecurity>
  <Lines>63</Lines>
  <Paragraphs>17</Paragraphs>
  <ScaleCrop>false</ScaleCrop>
  <Company>Hewlett-Packard Company</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mdandyytkuo</dc:creator>
  <cp:lastModifiedBy>朱顯光</cp:lastModifiedBy>
  <cp:revision>2</cp:revision>
  <cp:lastPrinted>2018-05-07T08:38:00Z</cp:lastPrinted>
  <dcterms:created xsi:type="dcterms:W3CDTF">2018-05-09T01:02:00Z</dcterms:created>
  <dcterms:modified xsi:type="dcterms:W3CDTF">2018-05-09T01:02:00Z</dcterms:modified>
</cp:coreProperties>
</file>