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proofErr w:type="gramStart"/>
      <w:r w:rsidRPr="003F4CFC">
        <w:rPr>
          <w:rFonts w:ascii="細明體" w:eastAsia="細明體" w:hAnsi="細明體" w:cs="細明體" w:hint="eastAsia"/>
          <w:b/>
          <w:color w:val="E36C0A" w:themeColor="accent6" w:themeShade="BF"/>
          <w:sz w:val="28"/>
        </w:rPr>
        <w:t>▌</w:t>
      </w:r>
      <w:bookmarkStart w:id="0" w:name="_GoBack"/>
      <w:proofErr w:type="gramEnd"/>
      <w:r w:rsidRPr="003F4CFC">
        <w:rPr>
          <w:rFonts w:ascii="Corbel" w:hAnsi="Corbel" w:cs="Times-Roman"/>
          <w:b/>
          <w:kern w:val="0"/>
          <w:sz w:val="28"/>
          <w:szCs w:val="20"/>
        </w:rPr>
        <w:t>參考文獻</w:t>
      </w:r>
      <w:bookmarkEnd w:id="0"/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1. </w:t>
      </w:r>
      <w:r w:rsidRPr="003F4CFC">
        <w:rPr>
          <w:rFonts w:ascii="Corbel" w:hAnsi="Corbel" w:cs="DFMingStd-W5"/>
          <w:kern w:val="0"/>
          <w:sz w:val="20"/>
          <w:szCs w:val="20"/>
        </w:rPr>
        <w:t>朱柔若、林東龍：醫療公道如何討？台灣醫療糾紛處理機制弊病之探索。</w:t>
      </w:r>
      <w:proofErr w:type="gramStart"/>
      <w:r w:rsidRPr="003F4CFC">
        <w:rPr>
          <w:rFonts w:ascii="Corbel" w:hAnsi="Corbel" w:cs="DFMingStd-W5"/>
          <w:kern w:val="0"/>
          <w:sz w:val="20"/>
          <w:szCs w:val="20"/>
        </w:rPr>
        <w:t>醫</w:t>
      </w:r>
      <w:proofErr w:type="gramEnd"/>
      <w:r w:rsidRPr="003F4CFC">
        <w:rPr>
          <w:rFonts w:ascii="Corbel" w:hAnsi="Corbel" w:cs="DFMingStd-W5"/>
          <w:kern w:val="0"/>
          <w:sz w:val="20"/>
          <w:szCs w:val="20"/>
        </w:rPr>
        <w:t>事法學</w:t>
      </w:r>
      <w:r w:rsidRPr="003F4CFC">
        <w:rPr>
          <w:rFonts w:ascii="Corbel" w:hAnsi="Corbel" w:cs="DFMingStd-W5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2003</w:t>
      </w:r>
      <w:r w:rsidRPr="003F4CFC">
        <w:rPr>
          <w:rFonts w:ascii="Corbel" w:hAnsi="Corbel" w:cs="DFMingStd-W5"/>
          <w:kern w:val="0"/>
          <w:sz w:val="20"/>
          <w:szCs w:val="20"/>
        </w:rPr>
        <w:t>；</w:t>
      </w:r>
      <w:r w:rsidRPr="003F4CFC">
        <w:rPr>
          <w:rFonts w:ascii="Corbel" w:hAnsi="Corbel" w:cs="Times-Bold"/>
          <w:b/>
          <w:bCs/>
          <w:kern w:val="0"/>
          <w:sz w:val="20"/>
          <w:szCs w:val="20"/>
        </w:rPr>
        <w:t>11</w:t>
      </w:r>
      <w:r w:rsidRPr="003F4CFC">
        <w:rPr>
          <w:rFonts w:ascii="Corbel" w:hAnsi="Corbel" w:cs="DFMingStd-W5"/>
          <w:kern w:val="0"/>
          <w:sz w:val="20"/>
          <w:szCs w:val="20"/>
        </w:rPr>
        <w:t>：</w:t>
      </w:r>
      <w:r w:rsidRPr="003F4CFC">
        <w:rPr>
          <w:rFonts w:ascii="Corbel" w:hAnsi="Corbel" w:cs="DFMingStd-W5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31-61</w:t>
      </w:r>
      <w:r w:rsidRPr="003F4CFC">
        <w:rPr>
          <w:rFonts w:ascii="Corbel" w:hAnsi="Corbel" w:cs="DFMingStd-W5"/>
          <w:kern w:val="0"/>
          <w:sz w:val="20"/>
          <w:szCs w:val="20"/>
        </w:rPr>
        <w:t>。</w:t>
      </w:r>
      <w:r w:rsidRPr="003F4CFC">
        <w:rPr>
          <w:rFonts w:ascii="Corbel" w:hAnsi="Corbel" w:cs="DFMingStd-W5"/>
          <w:kern w:val="0"/>
          <w:sz w:val="20"/>
          <w:szCs w:val="20"/>
        </w:rPr>
        <w:t xml:space="preserve">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Chu JJ, Lin DL.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How to claim for medical justice?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Exploring the defects of resolution mechanism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of medical malpractice in Taiwan.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J Law Med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2003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;</w:t>
      </w:r>
      <w:r w:rsidRPr="003F4CFC">
        <w:rPr>
          <w:rFonts w:ascii="Corbel" w:hAnsi="Corbel" w:cs="Times-Bold"/>
          <w:b/>
          <w:bCs/>
          <w:kern w:val="0"/>
          <w:sz w:val="20"/>
          <w:szCs w:val="20"/>
        </w:rPr>
        <w:t>11</w:t>
      </w:r>
      <w:r w:rsidRPr="003F4CFC">
        <w:rPr>
          <w:rFonts w:ascii="Corbel" w:hAnsi="Corbel" w:cs="Times-Roman"/>
          <w:kern w:val="0"/>
          <w:sz w:val="20"/>
          <w:szCs w:val="20"/>
        </w:rPr>
        <w:t>:31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>-61. [In Chinese]</w:t>
      </w:r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2. </w:t>
      </w:r>
      <w:r w:rsidRPr="003F4CFC">
        <w:rPr>
          <w:rFonts w:ascii="Corbel" w:hAnsi="Corbel" w:cs="DFMingStd-W5"/>
          <w:kern w:val="0"/>
          <w:sz w:val="20"/>
          <w:szCs w:val="20"/>
        </w:rPr>
        <w:t>林東龍、朱柔若、陳武宗：「搓圓子湯」或「醫療正義」</w:t>
      </w:r>
      <w:proofErr w:type="gramStart"/>
      <w:r w:rsidRPr="003F4CFC">
        <w:rPr>
          <w:rFonts w:ascii="Corbel" w:hAnsi="Corbel" w:cs="DFMingStd-W5"/>
          <w:kern w:val="0"/>
          <w:sz w:val="20"/>
          <w:szCs w:val="20"/>
        </w:rPr>
        <w:t>—</w:t>
      </w:r>
      <w:proofErr w:type="gramEnd"/>
      <w:r w:rsidRPr="003F4CFC">
        <w:rPr>
          <w:rFonts w:ascii="Corbel" w:hAnsi="Corbel" w:cs="DFMingStd-W5"/>
          <w:kern w:val="0"/>
          <w:sz w:val="20"/>
          <w:szCs w:val="20"/>
        </w:rPr>
        <w:t>醫療糾紛「第三方」之探索性研究。</w:t>
      </w:r>
      <w:r w:rsidRPr="003F4CFC">
        <w:rPr>
          <w:rFonts w:ascii="Corbel" w:hAnsi="Corbel" w:cs="DFMingStd-W5"/>
          <w:kern w:val="0"/>
          <w:sz w:val="20"/>
          <w:szCs w:val="20"/>
        </w:rPr>
        <w:t xml:space="preserve"> </w:t>
      </w:r>
      <w:proofErr w:type="gramStart"/>
      <w:r w:rsidRPr="003F4CFC">
        <w:rPr>
          <w:rFonts w:ascii="Corbel" w:hAnsi="Corbel" w:cs="DFMingStd-W5"/>
          <w:kern w:val="0"/>
          <w:sz w:val="20"/>
          <w:szCs w:val="20"/>
        </w:rPr>
        <w:t>醫</w:t>
      </w:r>
      <w:proofErr w:type="gramEnd"/>
      <w:r w:rsidRPr="003F4CFC">
        <w:rPr>
          <w:rFonts w:ascii="Corbel" w:hAnsi="Corbel" w:cs="DFMingStd-W5"/>
          <w:kern w:val="0"/>
          <w:sz w:val="20"/>
          <w:szCs w:val="20"/>
        </w:rPr>
        <w:t>事法學</w:t>
      </w:r>
      <w:r w:rsidRPr="003F4CFC">
        <w:rPr>
          <w:rFonts w:ascii="Corbel" w:hAnsi="Corbel" w:cs="DFMingStd-W5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2009</w:t>
      </w:r>
      <w:r w:rsidRPr="003F4CFC">
        <w:rPr>
          <w:rFonts w:ascii="Corbel" w:hAnsi="Corbel" w:cs="DFMingStd-W5"/>
          <w:kern w:val="0"/>
          <w:sz w:val="20"/>
          <w:szCs w:val="20"/>
        </w:rPr>
        <w:t>；</w:t>
      </w:r>
      <w:r w:rsidRPr="003F4CFC">
        <w:rPr>
          <w:rFonts w:ascii="Corbel" w:hAnsi="Corbel" w:cs="Times-Bold"/>
          <w:b/>
          <w:bCs/>
          <w:kern w:val="0"/>
          <w:sz w:val="20"/>
          <w:szCs w:val="20"/>
        </w:rPr>
        <w:t>16</w:t>
      </w:r>
      <w:r w:rsidRPr="003F4CFC">
        <w:rPr>
          <w:rFonts w:ascii="Corbel" w:hAnsi="Corbel" w:cs="DFMingStd-W5"/>
          <w:kern w:val="0"/>
          <w:sz w:val="20"/>
          <w:szCs w:val="20"/>
        </w:rPr>
        <w:t>：</w:t>
      </w:r>
      <w:r w:rsidRPr="003F4CFC">
        <w:rPr>
          <w:rFonts w:ascii="Corbel" w:hAnsi="Corbel" w:cs="Times-Roman"/>
          <w:kern w:val="0"/>
          <w:sz w:val="20"/>
          <w:szCs w:val="20"/>
        </w:rPr>
        <w:t>43-69</w:t>
      </w:r>
      <w:r w:rsidRPr="003F4CFC">
        <w:rPr>
          <w:rFonts w:ascii="Corbel" w:hAnsi="Corbel" w:cs="DFMingStd-W5"/>
          <w:kern w:val="0"/>
          <w:sz w:val="20"/>
          <w:szCs w:val="20"/>
        </w:rPr>
        <w:t>。</w:t>
      </w:r>
      <w:r w:rsidRPr="003F4CFC">
        <w:rPr>
          <w:rFonts w:ascii="Corbel" w:hAnsi="Corbel" w:cs="DFMingStd-W5"/>
          <w:kern w:val="0"/>
          <w:sz w:val="20"/>
          <w:szCs w:val="20"/>
        </w:rPr>
        <w:t xml:space="preserve">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Lin DL, Chu JJ, Chen WT. “To smooth dispute out”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or “to promote medical justice”-- an exploration study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of the third party in medical malpractice.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J Law Med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2009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;</w:t>
      </w:r>
      <w:r w:rsidRPr="003F4CFC">
        <w:rPr>
          <w:rFonts w:ascii="Corbel" w:hAnsi="Corbel" w:cs="Times-Bold"/>
          <w:b/>
          <w:bCs/>
          <w:kern w:val="0"/>
          <w:sz w:val="20"/>
          <w:szCs w:val="20"/>
        </w:rPr>
        <w:t>16</w:t>
      </w:r>
      <w:r w:rsidRPr="003F4CFC">
        <w:rPr>
          <w:rFonts w:ascii="Corbel" w:hAnsi="Corbel" w:cs="Times-Roman"/>
          <w:kern w:val="0"/>
          <w:sz w:val="20"/>
          <w:szCs w:val="20"/>
        </w:rPr>
        <w:t>:43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>-69. [In Chinese]</w:t>
      </w:r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3. </w:t>
      </w:r>
      <w:r w:rsidRPr="003F4CFC">
        <w:rPr>
          <w:rFonts w:ascii="Corbel" w:hAnsi="Corbel" w:cs="DFMingStd-W5"/>
          <w:kern w:val="0"/>
          <w:sz w:val="20"/>
          <w:szCs w:val="20"/>
        </w:rPr>
        <w:t>謝啟瑞：醫療糾紛風險與防禦性醫療行為。人文</w:t>
      </w:r>
      <w:r w:rsidRPr="003F4CFC">
        <w:rPr>
          <w:rFonts w:ascii="Corbel" w:hAnsi="Corbel" w:cs="DFMingStd-W5"/>
          <w:kern w:val="0"/>
          <w:sz w:val="20"/>
          <w:szCs w:val="20"/>
        </w:rPr>
        <w:t xml:space="preserve"> </w:t>
      </w:r>
      <w:r w:rsidRPr="003F4CFC">
        <w:rPr>
          <w:rFonts w:ascii="Corbel" w:hAnsi="Corbel" w:cs="DFMingStd-W5"/>
          <w:kern w:val="0"/>
          <w:sz w:val="20"/>
          <w:szCs w:val="20"/>
        </w:rPr>
        <w:t>及社會科學集刊</w:t>
      </w:r>
      <w:r w:rsidRPr="003F4CFC">
        <w:rPr>
          <w:rFonts w:ascii="Corbel" w:hAnsi="Corbel" w:cs="DFMingStd-W5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1994</w:t>
      </w:r>
      <w:r w:rsidRPr="003F4CFC">
        <w:rPr>
          <w:rFonts w:ascii="Corbel" w:hAnsi="Corbel" w:cs="DFMingStd-W5"/>
          <w:kern w:val="0"/>
          <w:sz w:val="20"/>
          <w:szCs w:val="20"/>
        </w:rPr>
        <w:t>；</w:t>
      </w:r>
      <w:r w:rsidRPr="003F4CFC">
        <w:rPr>
          <w:rFonts w:ascii="Corbel" w:hAnsi="Corbel" w:cs="Times-Bold"/>
          <w:b/>
          <w:bCs/>
          <w:kern w:val="0"/>
          <w:sz w:val="20"/>
          <w:szCs w:val="20"/>
        </w:rPr>
        <w:t>6</w:t>
      </w:r>
      <w:r w:rsidRPr="003F4CFC">
        <w:rPr>
          <w:rFonts w:ascii="Corbel" w:hAnsi="Corbel" w:cs="DFMingStd-W5"/>
          <w:kern w:val="0"/>
          <w:sz w:val="20"/>
          <w:szCs w:val="20"/>
        </w:rPr>
        <w:t>：</w:t>
      </w:r>
      <w:r w:rsidRPr="003F4CFC">
        <w:rPr>
          <w:rFonts w:ascii="Corbel" w:hAnsi="Corbel" w:cs="Times-Roman"/>
          <w:kern w:val="0"/>
          <w:sz w:val="20"/>
          <w:szCs w:val="20"/>
        </w:rPr>
        <w:t>199-230</w:t>
      </w:r>
      <w:r w:rsidRPr="003F4CFC">
        <w:rPr>
          <w:rFonts w:ascii="Corbel" w:hAnsi="Corbel" w:cs="DFMingStd-W5"/>
          <w:kern w:val="0"/>
          <w:sz w:val="20"/>
          <w:szCs w:val="20"/>
        </w:rPr>
        <w:t>。</w:t>
      </w:r>
      <w:r w:rsidRPr="003F4CFC">
        <w:rPr>
          <w:rFonts w:ascii="Corbel" w:hAnsi="Corbel" w:cs="DFMingStd-W5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Hsieh CR.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The risk of medical malpractice claim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and the defensive practice of medicine.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J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Soc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Sci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Philosophy 1994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;</w:t>
      </w:r>
      <w:r w:rsidRPr="003F4CFC">
        <w:rPr>
          <w:rFonts w:ascii="Corbel" w:hAnsi="Corbel" w:cs="Times-Bold"/>
          <w:b/>
          <w:bCs/>
          <w:kern w:val="0"/>
          <w:sz w:val="20"/>
          <w:szCs w:val="20"/>
        </w:rPr>
        <w:t>6</w:t>
      </w:r>
      <w:r w:rsidRPr="003F4CFC">
        <w:rPr>
          <w:rFonts w:ascii="Corbel" w:hAnsi="Corbel" w:cs="Times-Roman"/>
          <w:kern w:val="0"/>
          <w:sz w:val="20"/>
          <w:szCs w:val="20"/>
        </w:rPr>
        <w:t>:199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>-230. [In Chinese: English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abstract]</w:t>
      </w:r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4. Sorensen R,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Iedema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R, Piper D, Manias E, Williams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A,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Tuckett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A. Health care professionals’ views of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implementing a policy of open disclosure of errors. J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Health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Serv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Res Policy 2008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;</w:t>
      </w:r>
      <w:r w:rsidRPr="003F4CFC">
        <w:rPr>
          <w:rFonts w:ascii="Corbel" w:hAnsi="Corbel" w:cs="Times-Bold"/>
          <w:b/>
          <w:bCs/>
          <w:kern w:val="0"/>
          <w:sz w:val="20"/>
          <w:szCs w:val="20"/>
        </w:rPr>
        <w:t>13</w:t>
      </w:r>
      <w:r w:rsidRPr="003F4CFC">
        <w:rPr>
          <w:rFonts w:ascii="Corbel" w:hAnsi="Corbel" w:cs="Times-Roman"/>
          <w:kern w:val="0"/>
          <w:sz w:val="20"/>
          <w:szCs w:val="20"/>
        </w:rPr>
        <w:t>:227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>-32.</w:t>
      </w:r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5.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Kraman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SS, Hamm G. Risk management: extreme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honesty may be the best policy. Ann Intern Med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1999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;</w:t>
      </w:r>
      <w:r w:rsidRPr="003F4CFC">
        <w:rPr>
          <w:rFonts w:ascii="Corbel" w:hAnsi="Corbel" w:cs="Times-Bold"/>
          <w:b/>
          <w:bCs/>
          <w:kern w:val="0"/>
          <w:sz w:val="20"/>
          <w:szCs w:val="20"/>
        </w:rPr>
        <w:t>131</w:t>
      </w:r>
      <w:r w:rsidRPr="003F4CFC">
        <w:rPr>
          <w:rFonts w:ascii="Corbel" w:hAnsi="Corbel" w:cs="Times-Roman"/>
          <w:kern w:val="0"/>
          <w:sz w:val="20"/>
          <w:szCs w:val="20"/>
        </w:rPr>
        <w:t>:963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>-7.</w:t>
      </w:r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6.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Kraman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SS,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Cranfill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L,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Hamm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G, Woodard T.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Advocacy: the Lexington Veterans Affairs Medical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Center.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Jt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Comm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J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Qual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Improv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2002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;</w:t>
      </w:r>
      <w:r w:rsidRPr="003F4CFC">
        <w:rPr>
          <w:rFonts w:ascii="Corbel" w:hAnsi="Corbel" w:cs="Times-Bold"/>
          <w:b/>
          <w:bCs/>
          <w:kern w:val="0"/>
          <w:sz w:val="20"/>
          <w:szCs w:val="20"/>
        </w:rPr>
        <w:t>28</w:t>
      </w:r>
      <w:r w:rsidRPr="003F4CFC">
        <w:rPr>
          <w:rFonts w:ascii="Corbel" w:hAnsi="Corbel" w:cs="Times-Roman"/>
          <w:kern w:val="0"/>
          <w:sz w:val="20"/>
          <w:szCs w:val="20"/>
        </w:rPr>
        <w:t>:646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>-50.</w:t>
      </w:r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7. National Patient Safety Agency.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Being open.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Available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at: http://www.nrls.npsa.nhs.uk/beingopen.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Accessed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January 15, 2011.</w:t>
      </w:r>
      <w:proofErr w:type="gramEnd"/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>8. Canadian Patient Safety Institute. Backgrounder: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development of the Canadian disclosure guidelines.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Available at: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http://www.patientsafetyinstitute.ca/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English/Pages/default.aspx.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Accessed January 15,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2011.</w:t>
      </w:r>
      <w:proofErr w:type="gramEnd"/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>9. Australian Council for Safety and Quality in Health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Care. Open disclosure standard: a national standard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for open communication in public and private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hospitals, following an adverse event in health care.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Available at: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http://www.safetyandquality.gov.au/ </w:t>
      </w:r>
      <w:r w:rsidRPr="003F4CFC">
        <w:rPr>
          <w:rFonts w:ascii="Corbel" w:hAnsi="Corbel" w:cs="Times-Roman"/>
          <w:kern w:val="0"/>
          <w:sz w:val="20"/>
          <w:szCs w:val="20"/>
        </w:rPr>
        <w:t>internet/safety/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publishing.nsf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>/Content/former-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pubsarchive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>-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disclosure-progress.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Accessed January 15,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2011.</w:t>
      </w:r>
      <w:proofErr w:type="gramEnd"/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>10. Sabatier PA. Top-down and bottom-up approaches to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implementation research. In: Hill M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ed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>. The Policy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Process: A Reader.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Hemel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Hempstead: Harvester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Wheatsheaf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>, 1993; 272-95.</w:t>
      </w:r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11. National Patient Safety Agency.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Supporting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information.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Available at: </w:t>
      </w:r>
      <w:r w:rsidRPr="003F4CFC">
        <w:rPr>
          <w:rFonts w:ascii="Corbel" w:hAnsi="Corbel" w:cs="Times-Roman"/>
          <w:kern w:val="0"/>
          <w:sz w:val="20"/>
          <w:szCs w:val="20"/>
        </w:rPr>
        <w:t>http://www.nrls.npsa.nhs</w:t>
      </w:r>
      <w:r w:rsidRPr="003F4CFC">
        <w:rPr>
          <w:rFonts w:ascii="Corbel" w:hAnsi="Corbel" w:cs="Times-Roman"/>
          <w:kern w:val="0"/>
          <w:sz w:val="20"/>
          <w:szCs w:val="20"/>
        </w:rPr>
        <w:t>.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proofErr w:type="spellStart"/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uk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>/resources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/?entryid45=65077.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Accessed January 15,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2011.</w:t>
      </w:r>
      <w:proofErr w:type="gramEnd"/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12.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Boothman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RC, Blackwell AC, Campbell DA,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Commiskey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E, Anderson S. A better approach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to medical malpractice claims?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The University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of Michigan experience.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J Health Life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Sci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Law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2009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;</w:t>
      </w:r>
      <w:r w:rsidRPr="003F4CFC">
        <w:rPr>
          <w:rFonts w:ascii="Corbel" w:hAnsi="Corbel" w:cs="Times-Bold"/>
          <w:b/>
          <w:bCs/>
          <w:kern w:val="0"/>
          <w:sz w:val="20"/>
          <w:szCs w:val="20"/>
        </w:rPr>
        <w:t>2</w:t>
      </w:r>
      <w:r w:rsidRPr="003F4CFC">
        <w:rPr>
          <w:rFonts w:ascii="Corbel" w:hAnsi="Corbel" w:cs="Times-Roman"/>
          <w:kern w:val="0"/>
          <w:sz w:val="20"/>
          <w:szCs w:val="20"/>
        </w:rPr>
        <w:t>:125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>-59.</w:t>
      </w:r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13.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Wojcieszak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D,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Banja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J,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Houk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C. The Sorry Works!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Coalition: making the case for full disclosure.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Jt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Comm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J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Qual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Patient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Saf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2006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;</w:t>
      </w:r>
      <w:r w:rsidRPr="003F4CFC">
        <w:rPr>
          <w:rFonts w:ascii="Corbel" w:hAnsi="Corbel" w:cs="Times-Bold"/>
          <w:b/>
          <w:bCs/>
          <w:kern w:val="0"/>
          <w:sz w:val="20"/>
          <w:szCs w:val="20"/>
        </w:rPr>
        <w:t>32</w:t>
      </w:r>
      <w:r w:rsidRPr="003F4CFC">
        <w:rPr>
          <w:rFonts w:ascii="Corbel" w:hAnsi="Corbel" w:cs="Times-Roman"/>
          <w:kern w:val="0"/>
          <w:sz w:val="20"/>
          <w:szCs w:val="20"/>
        </w:rPr>
        <w:t>:344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>-50.</w:t>
      </w:r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14.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Kalra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J, Massey KL,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Mulla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A. Disclosure of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medical error: policies and practice. J R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Soc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Med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lastRenderedPageBreak/>
        <w:t>2005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;</w:t>
      </w:r>
      <w:r w:rsidRPr="003F4CFC">
        <w:rPr>
          <w:rFonts w:ascii="Corbel" w:hAnsi="Corbel" w:cs="Times-Bold"/>
          <w:b/>
          <w:bCs/>
          <w:kern w:val="0"/>
          <w:sz w:val="20"/>
          <w:szCs w:val="20"/>
        </w:rPr>
        <w:t>98</w:t>
      </w:r>
      <w:r w:rsidRPr="003F4CFC">
        <w:rPr>
          <w:rFonts w:ascii="Corbel" w:hAnsi="Corbel" w:cs="Times-Roman"/>
          <w:kern w:val="0"/>
          <w:sz w:val="20"/>
          <w:szCs w:val="20"/>
        </w:rPr>
        <w:t>:307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>-9.</w:t>
      </w:r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>15. National Ethics Committee of the Veterans Health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Administration.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Disclosing adverse events to patients.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Available at: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http://www.ethics.va.gov/docs/necrpts/N </w:t>
      </w:r>
      <w:r w:rsidRPr="003F4CFC">
        <w:rPr>
          <w:rFonts w:ascii="Corbel" w:hAnsi="Corbel" w:cs="Times-Roman"/>
          <w:kern w:val="0"/>
          <w:sz w:val="20"/>
          <w:szCs w:val="20"/>
        </w:rPr>
        <w:t>EC_Report_20030301_Disclosing_Adverse_Events.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proofErr w:type="spellStart"/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pdf</w:t>
      </w:r>
      <w:proofErr w:type="spellEnd"/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.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Accessed June 17, 2010.</w:t>
      </w:r>
      <w:proofErr w:type="gramEnd"/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>16. Ho B, Liu E. Does sorry work? The impact of apology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laws on medical malpractice. Available at: http://papers.ssrn.com/sol3/papers.cfm?abstract_id=1744225.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Accessed January 15, 2011.</w:t>
      </w:r>
      <w:proofErr w:type="gramEnd"/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17. Sweet MP,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Bernat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JL.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A study of the ethical duty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of physicians to disclose errors.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J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Clin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Ethics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1997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;</w:t>
      </w:r>
      <w:r w:rsidRPr="003F4CFC">
        <w:rPr>
          <w:rFonts w:ascii="Corbel" w:hAnsi="Corbel" w:cs="Times-Bold"/>
          <w:b/>
          <w:bCs/>
          <w:kern w:val="0"/>
          <w:sz w:val="20"/>
          <w:szCs w:val="20"/>
        </w:rPr>
        <w:t>8</w:t>
      </w:r>
      <w:r w:rsidRPr="003F4CFC">
        <w:rPr>
          <w:rFonts w:ascii="Corbel" w:hAnsi="Corbel" w:cs="Times-Roman"/>
          <w:kern w:val="0"/>
          <w:sz w:val="20"/>
          <w:szCs w:val="20"/>
        </w:rPr>
        <w:t>:341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>-8.</w:t>
      </w:r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>18. Clinton HR, Obama B. Making patient safety the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centerpiece of medical liability reform. N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Engl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J Med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2006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;</w:t>
      </w:r>
      <w:r w:rsidRPr="003F4CFC">
        <w:rPr>
          <w:rFonts w:ascii="Corbel" w:hAnsi="Corbel" w:cs="Times-Bold"/>
          <w:b/>
          <w:bCs/>
          <w:kern w:val="0"/>
          <w:sz w:val="20"/>
          <w:szCs w:val="20"/>
        </w:rPr>
        <w:t>354</w:t>
      </w:r>
      <w:r w:rsidRPr="003F4CFC">
        <w:rPr>
          <w:rFonts w:ascii="Corbel" w:hAnsi="Corbel" w:cs="Times-Roman"/>
          <w:kern w:val="0"/>
          <w:sz w:val="20"/>
          <w:szCs w:val="20"/>
        </w:rPr>
        <w:t>:2205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>-8.</w:t>
      </w:r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19. Department of Veterans Affairs.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Disclosure of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adverse events to patients.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Available at: </w:t>
      </w:r>
      <w:r w:rsidRPr="003F4CFC">
        <w:rPr>
          <w:rFonts w:ascii="Corbel" w:hAnsi="Corbel" w:cs="Times-Roman"/>
          <w:kern w:val="0"/>
          <w:sz w:val="20"/>
          <w:szCs w:val="20"/>
        </w:rPr>
        <w:t>http://www</w:t>
      </w:r>
      <w:r w:rsidRPr="003F4CFC">
        <w:rPr>
          <w:rFonts w:ascii="Corbel" w:hAnsi="Corbel" w:cs="Times-Roman"/>
          <w:kern w:val="0"/>
          <w:sz w:val="20"/>
          <w:szCs w:val="20"/>
        </w:rPr>
        <w:t>.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ethics.va.gov/docs/policy/VHA_Directive_2008-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002_Disclosure_of_Adverse_Events_20080118.pdf.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Accessed June 17, 2010.</w:t>
      </w:r>
      <w:proofErr w:type="gramEnd"/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20. The Judicial Council.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Report of the Judicial Council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Civil Code Advisory Committee on 2009 SB32.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Available at: </w:t>
      </w:r>
      <w:r w:rsidRPr="003F4CFC">
        <w:rPr>
          <w:rFonts w:ascii="Corbel" w:hAnsi="Corbel" w:cs="Times-Roman"/>
          <w:kern w:val="0"/>
          <w:sz w:val="20"/>
          <w:szCs w:val="20"/>
        </w:rPr>
        <w:t>http://www.kansasjudicialcouncil</w:t>
      </w:r>
      <w:r w:rsidRPr="003F4CFC">
        <w:rPr>
          <w:rFonts w:ascii="Corbel" w:hAnsi="Corbel" w:cs="Times-Roman"/>
          <w:kern w:val="0"/>
          <w:sz w:val="20"/>
          <w:szCs w:val="20"/>
        </w:rPr>
        <w:t>.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org/Documents/Studies%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>20and%20Reports/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2009%20Reports/CCAC%202009%20SB%2032.pdf.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Accessed June 17, 2010.</w:t>
      </w:r>
      <w:proofErr w:type="gramEnd"/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>21. McDonnell WM, Guenther E. Narrative review: do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state laws make it easier to say “I’m sorry?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”.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Ann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Intern Med 2008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;</w:t>
      </w:r>
      <w:r w:rsidRPr="003F4CFC">
        <w:rPr>
          <w:rFonts w:ascii="Corbel" w:hAnsi="Corbel" w:cs="Times-Bold"/>
          <w:b/>
          <w:bCs/>
          <w:kern w:val="0"/>
          <w:sz w:val="20"/>
          <w:szCs w:val="20"/>
        </w:rPr>
        <w:t>149</w:t>
      </w:r>
      <w:r w:rsidRPr="003F4CFC">
        <w:rPr>
          <w:rFonts w:ascii="Corbel" w:hAnsi="Corbel" w:cs="Times-Roman"/>
          <w:kern w:val="0"/>
          <w:sz w:val="20"/>
          <w:szCs w:val="20"/>
        </w:rPr>
        <w:t>:811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>-6.</w:t>
      </w:r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22. Morse MA.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Medical apology laws, mandatory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reporting, and adverse event reporting under the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PSQIA 25.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Available at: </w:t>
      </w:r>
      <w:r w:rsidRPr="003F4CFC">
        <w:rPr>
          <w:rFonts w:ascii="Corbel" w:hAnsi="Corbel" w:cs="Times-Roman"/>
          <w:kern w:val="0"/>
          <w:sz w:val="20"/>
          <w:szCs w:val="20"/>
        </w:rPr>
        <w:t>http://www.complianceinstitute</w:t>
      </w:r>
      <w:r w:rsidRPr="003F4CFC">
        <w:rPr>
          <w:rFonts w:ascii="Corbel" w:hAnsi="Corbel" w:cs="Times-Roman"/>
          <w:kern w:val="0"/>
          <w:sz w:val="20"/>
          <w:szCs w:val="20"/>
        </w:rPr>
        <w:t>.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org/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pastCIs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>/2009/PDFs3page/600s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>/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608_handout1.pdf.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Accessed June 17, 2010.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>23. Cohen JR. Toward candor after medical error: the first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apology law. Harvard Health Pol Rev 2004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;</w:t>
      </w:r>
      <w:r w:rsidRPr="003F4CFC">
        <w:rPr>
          <w:rFonts w:ascii="Corbel" w:hAnsi="Corbel" w:cs="Times-Bold"/>
          <w:b/>
          <w:bCs/>
          <w:kern w:val="0"/>
          <w:sz w:val="20"/>
          <w:szCs w:val="20"/>
        </w:rPr>
        <w:t>5</w:t>
      </w:r>
      <w:r w:rsidRPr="003F4CFC">
        <w:rPr>
          <w:rFonts w:ascii="Corbel" w:hAnsi="Corbel" w:cs="Times-Roman"/>
          <w:kern w:val="0"/>
          <w:sz w:val="20"/>
          <w:szCs w:val="20"/>
        </w:rPr>
        <w:t>:21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>-4.</w:t>
      </w:r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24. Becker EC. The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MEDiC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Act of 2005: a new approach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to safety. Available at: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http://findarticles.com/p/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articles/mi_m0FSL/is_6_82/ai_n15969697/.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Accessed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June 17, 2010.</w:t>
      </w:r>
      <w:proofErr w:type="gramEnd"/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25. AHMAC Legal Process Reform Group.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Responding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to the medical indemnity crisis: an integrated reform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package.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Available at: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http://health.act.gov.au/c/healt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h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?a</w:t>
      </w:r>
      <w:proofErr w:type="spellEnd"/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>=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sendfile&amp;ft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>=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p&amp;fid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=1054039512&amp;sid=.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Accessed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June 17, 2010.</w:t>
      </w:r>
      <w:proofErr w:type="gramEnd"/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26.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Iedema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R,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Mallock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N, Sorensen R, et al. The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national open disclosure pilot: evaluation of a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policy implementation initiative. Med J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Aust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2008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;</w:t>
      </w:r>
      <w:r w:rsidRPr="003F4CFC">
        <w:rPr>
          <w:rFonts w:ascii="Corbel" w:hAnsi="Corbel" w:cs="Times-Bold"/>
          <w:b/>
          <w:bCs/>
          <w:kern w:val="0"/>
          <w:sz w:val="20"/>
          <w:szCs w:val="20"/>
        </w:rPr>
        <w:t>188</w:t>
      </w:r>
      <w:r w:rsidRPr="003F4CFC">
        <w:rPr>
          <w:rFonts w:ascii="Corbel" w:hAnsi="Corbel" w:cs="Times-Roman"/>
          <w:kern w:val="0"/>
          <w:sz w:val="20"/>
          <w:szCs w:val="20"/>
        </w:rPr>
        <w:t>:397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>-400.</w:t>
      </w:r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27.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Iedema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R,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Mallock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N, Sorensen R, et al. Evaluation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of the pilot of the National Open Disclosure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Standard. Available at: </w:t>
      </w:r>
      <w:r w:rsidRPr="003F4CFC">
        <w:rPr>
          <w:rFonts w:ascii="Corbel" w:hAnsi="Corbel" w:cs="Times-Roman"/>
          <w:kern w:val="0"/>
          <w:sz w:val="20"/>
          <w:szCs w:val="20"/>
        </w:rPr>
        <w:t>http://www.safetyandquality</w:t>
      </w:r>
      <w:r w:rsidRPr="003F4CFC">
        <w:rPr>
          <w:rFonts w:ascii="Corbel" w:hAnsi="Corbel" w:cs="Times-Roman"/>
          <w:kern w:val="0"/>
          <w:sz w:val="20"/>
          <w:szCs w:val="20"/>
        </w:rPr>
        <w:t>.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gov.au/internet/safety/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publishing.nsf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>/Content/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751691A67FE79CFECA25776000155EE9/$File/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EvaluationOf-Pilot-NOD-Std.PDF. Accessed January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15, 2011.</w:t>
      </w:r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>28. Allan A. Implementing the Australian Open Disclosure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Standard: the legal situation in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western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Australia.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Available at: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http://www.ecu.edu.au/__data/assets/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pdf_file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>/0006/178296/87_Allan_OD_Legal_Review.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proofErr w:type="spellStart"/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pdf</w:t>
      </w:r>
      <w:proofErr w:type="spellEnd"/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.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Accessed June 17, 2010.</w:t>
      </w:r>
      <w:proofErr w:type="gramEnd"/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29. The Data Bank.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Introduction.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Available at: </w:t>
      </w:r>
      <w:r w:rsidRPr="003F4CFC">
        <w:rPr>
          <w:rFonts w:ascii="Corbel" w:hAnsi="Corbel" w:cs="Times-Roman"/>
          <w:kern w:val="0"/>
          <w:sz w:val="20"/>
          <w:szCs w:val="20"/>
        </w:rPr>
        <w:lastRenderedPageBreak/>
        <w:t>http://</w:t>
      </w:r>
      <w:r w:rsidRPr="003F4CFC">
        <w:rPr>
          <w:rFonts w:ascii="Corbel" w:hAnsi="Corbel" w:cs="Times-Roman"/>
          <w:kern w:val="0"/>
          <w:sz w:val="20"/>
          <w:szCs w:val="20"/>
        </w:rPr>
        <w:t>www.npdb-hipdb.hrsa.gov/topNavigation/aboutUs</w:t>
      </w:r>
      <w:r w:rsidRPr="003F4CFC">
        <w:rPr>
          <w:rFonts w:ascii="Corbel" w:hAnsi="Corbel" w:cs="Times-Roman"/>
          <w:kern w:val="0"/>
          <w:sz w:val="20"/>
          <w:szCs w:val="20"/>
        </w:rPr>
        <w:t>.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proofErr w:type="spellStart"/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jsp</w:t>
      </w:r>
      <w:proofErr w:type="spellEnd"/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.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Accessed April 6, 2012.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30.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Liebman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CB, Hyman CS.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A mediation skill model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to manage disclosure of errors and adverse events to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patients.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Health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Aff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(Millwood) 2004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;</w:t>
      </w:r>
      <w:r w:rsidRPr="003F4CFC">
        <w:rPr>
          <w:rFonts w:ascii="Corbel" w:hAnsi="Corbel" w:cs="Times-Bold"/>
          <w:b/>
          <w:bCs/>
          <w:kern w:val="0"/>
          <w:sz w:val="20"/>
          <w:szCs w:val="20"/>
        </w:rPr>
        <w:t>23</w:t>
      </w:r>
      <w:r w:rsidRPr="003F4CFC">
        <w:rPr>
          <w:rFonts w:ascii="Corbel" w:hAnsi="Corbel" w:cs="Times-Roman"/>
          <w:kern w:val="0"/>
          <w:sz w:val="20"/>
          <w:szCs w:val="20"/>
        </w:rPr>
        <w:t>:22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>-32.</w:t>
      </w:r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31. </w:t>
      </w:r>
      <w:r w:rsidRPr="003F4CFC">
        <w:rPr>
          <w:rFonts w:ascii="Corbel" w:hAnsi="Corbel" w:cs="DFMingStd-W5"/>
          <w:kern w:val="0"/>
          <w:sz w:val="20"/>
          <w:szCs w:val="20"/>
        </w:rPr>
        <w:t>楊秀儀：醫療糾紛與醫療無過失制度</w:t>
      </w:r>
      <w:proofErr w:type="gramStart"/>
      <w:r w:rsidRPr="003F4CFC">
        <w:rPr>
          <w:rFonts w:ascii="Corbel" w:hAnsi="Corbel" w:cs="DFMingStd-W5"/>
          <w:kern w:val="0"/>
          <w:sz w:val="20"/>
          <w:szCs w:val="20"/>
        </w:rPr>
        <w:t>—</w:t>
      </w:r>
      <w:proofErr w:type="gramEnd"/>
      <w:r w:rsidRPr="003F4CFC">
        <w:rPr>
          <w:rFonts w:ascii="Corbel" w:hAnsi="Corbel" w:cs="DFMingStd-W5"/>
          <w:kern w:val="0"/>
          <w:sz w:val="20"/>
          <w:szCs w:val="20"/>
        </w:rPr>
        <w:t>美國經驗四十年來之探討。政大法學評論</w:t>
      </w:r>
      <w:r w:rsidRPr="003F4CFC">
        <w:rPr>
          <w:rFonts w:ascii="Corbel" w:hAnsi="Corbel" w:cs="DFMingStd-W5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2001</w:t>
      </w:r>
      <w:r w:rsidRPr="003F4CFC">
        <w:rPr>
          <w:rFonts w:ascii="Corbel" w:hAnsi="Corbel" w:cs="DFMingStd-W5"/>
          <w:kern w:val="0"/>
          <w:sz w:val="20"/>
          <w:szCs w:val="20"/>
        </w:rPr>
        <w:t>；</w:t>
      </w:r>
      <w:r w:rsidRPr="003F4CFC">
        <w:rPr>
          <w:rFonts w:ascii="Corbel" w:hAnsi="Corbel" w:cs="Times-Bold"/>
          <w:b/>
          <w:bCs/>
          <w:kern w:val="0"/>
          <w:sz w:val="20"/>
          <w:szCs w:val="20"/>
        </w:rPr>
        <w:t>(68)</w:t>
      </w:r>
      <w:r w:rsidRPr="003F4CFC">
        <w:rPr>
          <w:rFonts w:ascii="Corbel" w:hAnsi="Corbel" w:cs="DFMingStd-W5"/>
          <w:kern w:val="0"/>
          <w:sz w:val="20"/>
          <w:szCs w:val="20"/>
        </w:rPr>
        <w:t>：</w:t>
      </w:r>
      <w:r w:rsidRPr="003F4CFC">
        <w:rPr>
          <w:rFonts w:ascii="Corbel" w:hAnsi="Corbel" w:cs="DFMingStd-W5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9-41</w:t>
      </w:r>
      <w:r w:rsidRPr="003F4CFC">
        <w:rPr>
          <w:rFonts w:ascii="Corbel" w:hAnsi="Corbel" w:cs="DFMingStd-W5"/>
          <w:kern w:val="0"/>
          <w:sz w:val="20"/>
          <w:szCs w:val="20"/>
        </w:rPr>
        <w:t>。</w:t>
      </w:r>
      <w:r w:rsidRPr="003F4CFC">
        <w:rPr>
          <w:rFonts w:ascii="Corbel" w:hAnsi="Corbel" w:cs="DFMingStd-W5"/>
          <w:kern w:val="0"/>
          <w:sz w:val="20"/>
          <w:szCs w:val="20"/>
        </w:rPr>
        <w:t xml:space="preserve">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Yang HI.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Medical malpractice and medical no fault in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the United States-lessons for Taiwan.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Chengchi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Law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Rev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2001;</w:t>
      </w:r>
      <w:proofErr w:type="gramEnd"/>
      <w:r w:rsidRPr="003F4CFC">
        <w:rPr>
          <w:rFonts w:ascii="Corbel" w:hAnsi="Corbel" w:cs="Times-Bold"/>
          <w:b/>
          <w:bCs/>
          <w:kern w:val="0"/>
          <w:sz w:val="20"/>
          <w:szCs w:val="20"/>
        </w:rPr>
        <w:t>(68)</w:t>
      </w:r>
      <w:r w:rsidRPr="003F4CFC">
        <w:rPr>
          <w:rFonts w:ascii="Corbel" w:hAnsi="Corbel" w:cs="Times-Roman"/>
          <w:kern w:val="0"/>
          <w:sz w:val="20"/>
          <w:szCs w:val="20"/>
        </w:rPr>
        <w:t>:9-41. [In Chinese: English abstract]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32.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 xml:space="preserve">Wilson RM,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Runciman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WB,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Gibberd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RW, Harrison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BT, Newby L, Hamilton JD.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The quality in Australian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health care study.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Med J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Aust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1995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;</w:t>
      </w:r>
      <w:r w:rsidRPr="003F4CFC">
        <w:rPr>
          <w:rFonts w:ascii="Corbel" w:hAnsi="Corbel" w:cs="Times-Bold"/>
          <w:b/>
          <w:bCs/>
          <w:kern w:val="0"/>
          <w:sz w:val="20"/>
          <w:szCs w:val="20"/>
        </w:rPr>
        <w:t>163</w:t>
      </w:r>
      <w:r w:rsidRPr="003F4CFC">
        <w:rPr>
          <w:rFonts w:ascii="Corbel" w:hAnsi="Corbel" w:cs="Times-Roman"/>
          <w:kern w:val="0"/>
          <w:sz w:val="20"/>
          <w:szCs w:val="20"/>
        </w:rPr>
        <w:t>:458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>-71.</w:t>
      </w:r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33. </w:t>
      </w:r>
      <w:r w:rsidRPr="003F4CFC">
        <w:rPr>
          <w:rFonts w:ascii="Corbel" w:hAnsi="Corbel" w:cs="DFMingStd-W5"/>
          <w:kern w:val="0"/>
          <w:sz w:val="20"/>
          <w:szCs w:val="20"/>
        </w:rPr>
        <w:t>葉肅科：澳洲新社會政策：全球脈絡與再出發點。社區發展季刊</w:t>
      </w:r>
      <w:r w:rsidRPr="003F4CFC">
        <w:rPr>
          <w:rFonts w:ascii="Corbel" w:hAnsi="Corbel" w:cs="DFMingStd-W5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2007</w:t>
      </w:r>
      <w:r w:rsidRPr="003F4CFC">
        <w:rPr>
          <w:rFonts w:ascii="Corbel" w:hAnsi="Corbel" w:cs="DFMingStd-W5"/>
          <w:kern w:val="0"/>
          <w:sz w:val="20"/>
          <w:szCs w:val="20"/>
        </w:rPr>
        <w:t>；</w:t>
      </w:r>
      <w:r w:rsidRPr="003F4CFC">
        <w:rPr>
          <w:rFonts w:ascii="Corbel" w:hAnsi="Corbel" w:cs="Times-Bold"/>
          <w:b/>
          <w:bCs/>
          <w:kern w:val="0"/>
          <w:sz w:val="20"/>
          <w:szCs w:val="20"/>
        </w:rPr>
        <w:t>117</w:t>
      </w:r>
      <w:r w:rsidRPr="003F4CFC">
        <w:rPr>
          <w:rFonts w:ascii="Corbel" w:hAnsi="Corbel" w:cs="DFMingStd-W5"/>
          <w:kern w:val="0"/>
          <w:sz w:val="20"/>
          <w:szCs w:val="20"/>
        </w:rPr>
        <w:t>：</w:t>
      </w:r>
      <w:r w:rsidRPr="003F4CFC">
        <w:rPr>
          <w:rFonts w:ascii="Corbel" w:hAnsi="Corbel" w:cs="Times-Roman"/>
          <w:kern w:val="0"/>
          <w:sz w:val="20"/>
          <w:szCs w:val="20"/>
        </w:rPr>
        <w:t>8-24</w:t>
      </w:r>
      <w:r w:rsidRPr="003F4CFC">
        <w:rPr>
          <w:rFonts w:ascii="Corbel" w:hAnsi="Corbel" w:cs="DFMingStd-W5"/>
          <w:kern w:val="0"/>
          <w:sz w:val="20"/>
          <w:szCs w:val="20"/>
        </w:rPr>
        <w:t>。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Ye SK.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New social policy in Australia: global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context and new starting points. Community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Dev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J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2007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;</w:t>
      </w:r>
      <w:r w:rsidRPr="003F4CFC">
        <w:rPr>
          <w:rFonts w:ascii="Corbel" w:hAnsi="Corbel" w:cs="Times-Bold"/>
          <w:b/>
          <w:bCs/>
          <w:kern w:val="0"/>
          <w:sz w:val="20"/>
          <w:szCs w:val="20"/>
        </w:rPr>
        <w:t>117</w:t>
      </w:r>
      <w:r w:rsidRPr="003F4CFC">
        <w:rPr>
          <w:rFonts w:ascii="Corbel" w:hAnsi="Corbel" w:cs="Times-Roman"/>
          <w:kern w:val="0"/>
          <w:sz w:val="20"/>
          <w:szCs w:val="20"/>
        </w:rPr>
        <w:t>:8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>-24. [In Chinese]</w:t>
      </w:r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34. </w:t>
      </w:r>
      <w:proofErr w:type="spellStart"/>
      <w:r w:rsidRPr="003F4CFC">
        <w:rPr>
          <w:rFonts w:ascii="Corbel" w:hAnsi="Corbel" w:cs="Times-Roman"/>
          <w:kern w:val="0"/>
          <w:sz w:val="20"/>
          <w:szCs w:val="20"/>
        </w:rPr>
        <w:t>Beddie</w:t>
      </w:r>
      <w:proofErr w:type="spellEnd"/>
      <w:r w:rsidRPr="003F4CFC">
        <w:rPr>
          <w:rFonts w:ascii="Corbel" w:hAnsi="Corbel" w:cs="Times-Roman"/>
          <w:kern w:val="0"/>
          <w:sz w:val="20"/>
          <w:szCs w:val="20"/>
        </w:rPr>
        <w:t xml:space="preserve"> F. Putting Life into Years: the Commonwealth’s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Role in Australia’s Health since 1901. Canberra: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Commonwealth Department of Health &amp; Aged care,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2001.</w:t>
      </w:r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35. </w:t>
      </w:r>
      <w:r w:rsidRPr="003F4CFC">
        <w:rPr>
          <w:rFonts w:ascii="Corbel" w:hAnsi="Corbel" w:cs="DFMingStd-W5"/>
          <w:kern w:val="0"/>
          <w:sz w:val="20"/>
          <w:szCs w:val="20"/>
        </w:rPr>
        <w:t>石崇良：急診醫療不良事件之流行病學研究。台北：台灣大學醫療機構管理研究所博士論文，</w:t>
      </w:r>
      <w:r w:rsidRPr="003F4CFC">
        <w:rPr>
          <w:rFonts w:ascii="Corbel" w:hAnsi="Corbel" w:cs="Times-Roman"/>
          <w:kern w:val="0"/>
          <w:sz w:val="20"/>
          <w:szCs w:val="20"/>
        </w:rPr>
        <w:t>2005</w:t>
      </w:r>
      <w:r w:rsidRPr="003F4CFC">
        <w:rPr>
          <w:rFonts w:ascii="Corbel" w:hAnsi="Corbel" w:cs="DFMingStd-W5"/>
          <w:kern w:val="0"/>
          <w:sz w:val="20"/>
          <w:szCs w:val="20"/>
        </w:rPr>
        <w:t>。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Shih CL. Epidemiology of medical adverse events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in emergency department [Dissertation].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Taipei: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Graduate Institute of Health Care Organization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Administration, National Taiwan University, 2005. [In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Chinese: English abstract]</w:t>
      </w:r>
    </w:p>
    <w:p w:rsidR="003F4CFC" w:rsidRPr="003F4CFC" w:rsidRDefault="003F4CFC" w:rsidP="003F4CFC">
      <w:pPr>
        <w:autoSpaceDE w:val="0"/>
        <w:autoSpaceDN w:val="0"/>
        <w:adjustRightInd w:val="0"/>
        <w:rPr>
          <w:rFonts w:ascii="Corbel" w:hAnsi="Corbel" w:cs="Times-Roman"/>
          <w:kern w:val="0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36. </w:t>
      </w:r>
      <w:r w:rsidRPr="003F4CFC">
        <w:rPr>
          <w:rFonts w:ascii="Corbel" w:hAnsi="Corbel" w:cs="DFMingStd-W5"/>
          <w:kern w:val="0"/>
          <w:sz w:val="20"/>
          <w:szCs w:val="20"/>
        </w:rPr>
        <w:t>行政院衛生署：台灣病人安全通報系統。</w:t>
      </w:r>
      <w:r w:rsidRPr="003F4CFC">
        <w:rPr>
          <w:rFonts w:ascii="Corbel" w:hAnsi="Corbel" w:cs="Times-Roman"/>
          <w:kern w:val="0"/>
          <w:sz w:val="20"/>
          <w:szCs w:val="20"/>
        </w:rPr>
        <w:t>http://</w:t>
      </w:r>
      <w:r w:rsidRPr="003F4CFC">
        <w:rPr>
          <w:rFonts w:ascii="Corbel" w:hAnsi="Corbel" w:cs="Times-Roman"/>
          <w:kern w:val="0"/>
          <w:sz w:val="20"/>
          <w:szCs w:val="20"/>
        </w:rPr>
        <w:t>www.tpr.org.tw/index01.php</w:t>
      </w:r>
      <w:r w:rsidRPr="003F4CFC">
        <w:rPr>
          <w:rFonts w:ascii="Corbel" w:hAnsi="Corbel" w:cs="DFMingStd-W5"/>
          <w:kern w:val="0"/>
          <w:sz w:val="20"/>
          <w:szCs w:val="20"/>
        </w:rPr>
        <w:t>。引用</w:t>
      </w:r>
      <w:r w:rsidRPr="003F4CFC">
        <w:rPr>
          <w:rFonts w:ascii="Corbel" w:hAnsi="Corbel" w:cs="Times-Roman"/>
          <w:kern w:val="0"/>
          <w:sz w:val="20"/>
          <w:szCs w:val="20"/>
        </w:rPr>
        <w:t>2011/02/11</w:t>
      </w:r>
      <w:r w:rsidRPr="003F4CFC">
        <w:rPr>
          <w:rFonts w:ascii="Corbel" w:hAnsi="Corbel" w:cs="DFMingStd-W5"/>
          <w:kern w:val="0"/>
          <w:sz w:val="20"/>
          <w:szCs w:val="20"/>
        </w:rPr>
        <w:t>。</w:t>
      </w:r>
      <w:r w:rsidRPr="003F4CFC">
        <w:rPr>
          <w:rFonts w:ascii="Corbel" w:hAnsi="Corbel" w:cs="DFMingStd-W5"/>
          <w:kern w:val="0"/>
          <w:sz w:val="20"/>
          <w:szCs w:val="20"/>
        </w:rPr>
        <w:t xml:space="preserve">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Department of Health, Executive Yuan, R.O.C.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(Taiwan).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Taiwan Patient safety Reporting system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(TPR).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Available at: </w:t>
      </w:r>
      <w:r w:rsidRPr="003F4CFC">
        <w:rPr>
          <w:rFonts w:ascii="Corbel" w:hAnsi="Corbel" w:cs="Times-Roman"/>
          <w:kern w:val="0"/>
          <w:sz w:val="20"/>
          <w:szCs w:val="20"/>
        </w:rPr>
        <w:t>http://www.tpr.org.tw/index01</w:t>
      </w:r>
      <w:r w:rsidRPr="003F4CFC">
        <w:rPr>
          <w:rFonts w:ascii="Corbel" w:hAnsi="Corbel" w:cs="Times-Roman"/>
          <w:kern w:val="0"/>
          <w:sz w:val="20"/>
          <w:szCs w:val="20"/>
        </w:rPr>
        <w:t>.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proofErr w:type="spellStart"/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php</w:t>
      </w:r>
      <w:proofErr w:type="spellEnd"/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. 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Accessed February 11, 2011.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[In Chinese: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English abstract]</w:t>
      </w:r>
    </w:p>
    <w:p w:rsidR="006022E7" w:rsidRPr="003F4CFC" w:rsidRDefault="003F4CFC" w:rsidP="003F4CFC">
      <w:pPr>
        <w:autoSpaceDE w:val="0"/>
        <w:autoSpaceDN w:val="0"/>
        <w:adjustRightInd w:val="0"/>
        <w:rPr>
          <w:rFonts w:ascii="Corbel" w:hAnsi="Corbel"/>
          <w:sz w:val="20"/>
          <w:szCs w:val="20"/>
        </w:rPr>
      </w:pPr>
      <w:r w:rsidRPr="003F4CFC">
        <w:rPr>
          <w:rFonts w:ascii="Corbel" w:hAnsi="Corbel" w:cs="Times-Roman"/>
          <w:kern w:val="0"/>
          <w:sz w:val="20"/>
          <w:szCs w:val="20"/>
        </w:rPr>
        <w:t xml:space="preserve">37. </w:t>
      </w:r>
      <w:r w:rsidRPr="003F4CFC">
        <w:rPr>
          <w:rFonts w:ascii="Corbel" w:hAnsi="Corbel" w:cs="DFMingStd-W5"/>
          <w:kern w:val="0"/>
          <w:sz w:val="20"/>
          <w:szCs w:val="20"/>
        </w:rPr>
        <w:t>楊秀儀：瑞典病人賠償保險制度之研究</w:t>
      </w:r>
      <w:proofErr w:type="gramStart"/>
      <w:r w:rsidRPr="003F4CFC">
        <w:rPr>
          <w:rFonts w:ascii="Corbel" w:hAnsi="Corbel" w:cs="DFMingStd-W5"/>
          <w:kern w:val="0"/>
          <w:sz w:val="20"/>
          <w:szCs w:val="20"/>
        </w:rPr>
        <w:t>—</w:t>
      </w:r>
      <w:proofErr w:type="gramEnd"/>
      <w:r w:rsidRPr="003F4CFC">
        <w:rPr>
          <w:rFonts w:ascii="Corbel" w:hAnsi="Corbel" w:cs="DFMingStd-W5"/>
          <w:kern w:val="0"/>
          <w:sz w:val="20"/>
          <w:szCs w:val="20"/>
        </w:rPr>
        <w:t>對台灣醫療傷害責任制之啟發。國立台灣大學</w:t>
      </w:r>
      <w:proofErr w:type="gramStart"/>
      <w:r w:rsidRPr="003F4CFC">
        <w:rPr>
          <w:rFonts w:ascii="Corbel" w:hAnsi="Corbel" w:cs="DFMingStd-W5"/>
          <w:kern w:val="0"/>
          <w:sz w:val="20"/>
          <w:szCs w:val="20"/>
        </w:rPr>
        <w:t>法學論叢</w:t>
      </w:r>
      <w:proofErr w:type="gramEnd"/>
      <w:r w:rsidRPr="003F4CFC">
        <w:rPr>
          <w:rFonts w:ascii="Corbel" w:hAnsi="Corbel" w:cs="DFMingStd-W5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2001</w:t>
      </w:r>
      <w:r w:rsidRPr="003F4CFC">
        <w:rPr>
          <w:rFonts w:ascii="Corbel" w:hAnsi="Corbel" w:cs="DFMingStd-W5"/>
          <w:kern w:val="0"/>
          <w:sz w:val="20"/>
          <w:szCs w:val="20"/>
        </w:rPr>
        <w:t>；</w:t>
      </w:r>
      <w:r w:rsidRPr="003F4CFC">
        <w:rPr>
          <w:rFonts w:ascii="Corbel" w:hAnsi="Corbel" w:cs="Times-Bold"/>
          <w:b/>
          <w:bCs/>
          <w:kern w:val="0"/>
          <w:sz w:val="20"/>
          <w:szCs w:val="20"/>
        </w:rPr>
        <w:t>30</w:t>
      </w:r>
      <w:r w:rsidRPr="003F4CFC">
        <w:rPr>
          <w:rFonts w:ascii="Corbel" w:hAnsi="Corbel" w:cs="DFMingStd-W5"/>
          <w:kern w:val="0"/>
          <w:sz w:val="20"/>
          <w:szCs w:val="20"/>
        </w:rPr>
        <w:t>：</w:t>
      </w:r>
      <w:r w:rsidRPr="003F4CFC">
        <w:rPr>
          <w:rFonts w:ascii="Corbel" w:hAnsi="Corbel" w:cs="Times-Roman"/>
          <w:kern w:val="0"/>
          <w:sz w:val="20"/>
          <w:szCs w:val="20"/>
        </w:rPr>
        <w:t>165-94</w:t>
      </w:r>
      <w:r w:rsidRPr="003F4CFC">
        <w:rPr>
          <w:rFonts w:ascii="Corbel" w:hAnsi="Corbel" w:cs="DFMingStd-W5"/>
          <w:kern w:val="0"/>
          <w:sz w:val="20"/>
          <w:szCs w:val="20"/>
        </w:rPr>
        <w:t>。</w:t>
      </w:r>
      <w:proofErr w:type="gramStart"/>
      <w:r w:rsidRPr="003F4CFC">
        <w:rPr>
          <w:rFonts w:ascii="Corbel" w:hAnsi="Corbel" w:cs="Times-Roman"/>
          <w:kern w:val="0"/>
          <w:sz w:val="20"/>
          <w:szCs w:val="20"/>
        </w:rPr>
        <w:t>Yang HI.</w:t>
      </w:r>
      <w:proofErr w:type="gramEnd"/>
      <w:r w:rsidRPr="003F4CFC">
        <w:rPr>
          <w:rFonts w:ascii="Corbel" w:hAnsi="Corbel" w:cs="Times-Roman"/>
          <w:kern w:val="0"/>
          <w:sz w:val="20"/>
          <w:szCs w:val="20"/>
        </w:rPr>
        <w:t xml:space="preserve"> A comparative study of Swedish patient</w:t>
      </w:r>
      <w:r w:rsidRPr="003F4CFC">
        <w:rPr>
          <w:rFonts w:ascii="Corbel" w:hAnsi="Corbel" w:cs="Times-Roman"/>
          <w:kern w:val="0"/>
          <w:sz w:val="20"/>
          <w:szCs w:val="20"/>
        </w:rPr>
        <w:t xml:space="preserve"> </w:t>
      </w:r>
      <w:r w:rsidRPr="003F4CFC">
        <w:rPr>
          <w:rFonts w:ascii="Corbel" w:hAnsi="Corbel" w:cs="Times-Roman"/>
          <w:kern w:val="0"/>
          <w:sz w:val="20"/>
          <w:szCs w:val="20"/>
        </w:rPr>
        <w:t>compensation system: lessons for Taiwan.</w:t>
      </w:r>
    </w:p>
    <w:sectPr w:rsidR="006022E7" w:rsidRPr="003F4C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Ming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FC"/>
    <w:rsid w:val="003F4CFC"/>
    <w:rsid w:val="0060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C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C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雅婷</dc:creator>
  <cp:lastModifiedBy>雅婷</cp:lastModifiedBy>
  <cp:revision>1</cp:revision>
  <dcterms:created xsi:type="dcterms:W3CDTF">2012-10-01T02:20:00Z</dcterms:created>
  <dcterms:modified xsi:type="dcterms:W3CDTF">2012-10-01T02:27:00Z</dcterms:modified>
</cp:coreProperties>
</file>