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7A" w:rsidRPr="00AF1EFD" w:rsidRDefault="00C1257A" w:rsidP="00322946">
      <w:pPr>
        <w:contextualSpacing/>
        <w:jc w:val="center"/>
        <w:rPr>
          <w:rFonts w:ascii="標楷體" w:eastAsia="標楷體" w:hAnsi="標楷體" w:cs="Times New Roman"/>
          <w:sz w:val="40"/>
        </w:rPr>
      </w:pPr>
      <w:r w:rsidRPr="00AF1EFD">
        <w:rPr>
          <w:rFonts w:ascii="標楷體" w:eastAsia="標楷體" w:hAnsi="標楷體" w:cs="Times New Roman"/>
          <w:sz w:val="40"/>
        </w:rPr>
        <w:t>醫</w:t>
      </w:r>
      <w:r w:rsidRPr="00AF1EFD">
        <w:rPr>
          <w:rFonts w:ascii="標楷體" w:eastAsia="標楷體" w:hAnsi="標楷體" w:cs="Times New Roman" w:hint="eastAsia"/>
          <w:sz w:val="40"/>
        </w:rPr>
        <w:t>事</w:t>
      </w:r>
      <w:r w:rsidRPr="00AF1EFD">
        <w:rPr>
          <w:rFonts w:ascii="標楷體" w:eastAsia="標楷體" w:hAnsi="標楷體" w:cs="Times New Roman"/>
          <w:sz w:val="40"/>
        </w:rPr>
        <w:t>爭議處理法</w:t>
      </w:r>
      <w:r w:rsidRPr="00AF1EFD">
        <w:rPr>
          <w:rFonts w:ascii="標楷體" w:eastAsia="標楷體" w:hAnsi="標楷體" w:cs="Times New Roman" w:hint="eastAsia"/>
          <w:sz w:val="40"/>
        </w:rPr>
        <w:t>草案總說明</w:t>
      </w:r>
    </w:p>
    <w:p w:rsidR="00360B6A" w:rsidRPr="00AF1EFD" w:rsidRDefault="00322946" w:rsidP="00322946">
      <w:pPr>
        <w:spacing w:line="460" w:lineRule="exact"/>
        <w:ind w:firstLineChars="202" w:firstLine="566"/>
        <w:jc w:val="both"/>
        <w:rPr>
          <w:rFonts w:ascii="標楷體" w:eastAsia="標楷體" w:hAnsi="標楷體" w:cs="Times New Roman"/>
          <w:sz w:val="28"/>
          <w:szCs w:val="28"/>
        </w:rPr>
      </w:pPr>
      <w:r w:rsidRPr="00AF1EFD">
        <w:rPr>
          <w:rFonts w:ascii="標楷體" w:eastAsia="標楷體" w:hAnsi="標楷體" w:cs="Times New Roman" w:hint="eastAsia"/>
          <w:sz w:val="28"/>
          <w:szCs w:val="28"/>
        </w:rPr>
        <w:t>醫療糾紛之發生，固與醫療行為有關，然醫療行為之目的在解除病人生命或身體危害，具有特殊性、侵害性、高風險性及不可預期性，且病人之傷亡結果與其本身狀況及病程發展亦具一定之關聯性，欲以事後之結果研判與當時醫療行為間之直接因果關係，實具難度，尤其如傷亡結果發生時間距醫療行為已有相當時日時，針對醫事人員所實施醫療行為有無過失責任之認定，或是鑑定其所生之損害是否屬於醫療疏失，更是難上加難。</w:t>
      </w:r>
    </w:p>
    <w:p w:rsidR="00C1257A" w:rsidRPr="00AF1EFD" w:rsidRDefault="00322946" w:rsidP="00A21F55">
      <w:pPr>
        <w:spacing w:line="460" w:lineRule="exact"/>
        <w:ind w:firstLineChars="202" w:firstLine="566"/>
        <w:jc w:val="both"/>
        <w:rPr>
          <w:rFonts w:ascii="標楷體" w:eastAsia="標楷體" w:hAnsi="標楷體" w:cs="Times New Roman"/>
          <w:sz w:val="28"/>
          <w:szCs w:val="28"/>
        </w:rPr>
      </w:pPr>
      <w:r w:rsidRPr="00AF1EFD">
        <w:rPr>
          <w:rFonts w:ascii="標楷體" w:eastAsia="標楷體" w:hAnsi="標楷體" w:cs="Times New Roman" w:hint="eastAsia"/>
          <w:sz w:val="28"/>
          <w:szCs w:val="28"/>
        </w:rPr>
        <w:t>此外，國內醫療糾紛動輒以業務過失致死或重傷提起訴訟，更使得醫病關係趨於緊張對立，依據前揭統計結果顯示，逾八成之鑑定結果並無醫療疏失，然冗長之訴訟過程，醫病雙方均蒙受無法承受之重，不僅病人得不到及時之情緒紓解與財務賠（補）償，而醫師為減少醫療糾紛之風險，採取防禦性醫療措施，相對地病人亦得不到良好之醫療服務，長久以往，恐將造成醫療服務效率、品質惡化及高風險科別人才流失。醫療爭議訴訟案件數的增加，不但加重司法機關的負荷，對於涉案的各方均承受身、心、靈相當之壓力，而對於醫療體系長期發展的不良影響，更是政府、醫界、民眾所不樂見，因此，尋求醫療糾紛非訴訟之處理機制，實為刻不容緩之當務之急。</w:t>
      </w:r>
    </w:p>
    <w:p w:rsidR="00C1257A" w:rsidRPr="00AF1EFD" w:rsidRDefault="00C1257A" w:rsidP="00322946">
      <w:pPr>
        <w:spacing w:line="460" w:lineRule="exact"/>
        <w:ind w:firstLineChars="202" w:firstLine="566"/>
        <w:jc w:val="both"/>
        <w:rPr>
          <w:rFonts w:ascii="標楷體" w:eastAsia="標楷體" w:hAnsi="標楷體" w:cs="Times New Roman"/>
          <w:sz w:val="28"/>
          <w:szCs w:val="28"/>
        </w:rPr>
      </w:pPr>
      <w:r w:rsidRPr="00AF1EFD">
        <w:rPr>
          <w:rFonts w:ascii="標楷體" w:eastAsia="標楷體" w:hAnsi="標楷體" w:cs="Times New Roman" w:hint="eastAsia"/>
          <w:sz w:val="28"/>
          <w:szCs w:val="28"/>
        </w:rPr>
        <w:t>為通盤解決病人及家屬、醫事人員雙方面對醫</w:t>
      </w:r>
      <w:r w:rsidR="00C56498">
        <w:rPr>
          <w:rFonts w:ascii="標楷體" w:eastAsia="標楷體" w:hAnsi="標楷體" w:cs="Times New Roman" w:hint="eastAsia"/>
          <w:sz w:val="28"/>
          <w:szCs w:val="28"/>
        </w:rPr>
        <w:t>事</w:t>
      </w:r>
      <w:r w:rsidRPr="00AF1EFD">
        <w:rPr>
          <w:rFonts w:ascii="標楷體" w:eastAsia="標楷體" w:hAnsi="標楷體" w:cs="Times New Roman" w:hint="eastAsia"/>
          <w:sz w:val="28"/>
          <w:szCs w:val="28"/>
        </w:rPr>
        <w:t>爭議</w:t>
      </w:r>
      <w:r w:rsidR="008E7B1B">
        <w:rPr>
          <w:rFonts w:ascii="標楷體" w:eastAsia="標楷體" w:hAnsi="標楷體" w:cs="Times New Roman" w:hint="eastAsia"/>
          <w:sz w:val="28"/>
          <w:szCs w:val="28"/>
        </w:rPr>
        <w:t>處理</w:t>
      </w:r>
      <w:r w:rsidRPr="00AF1EFD">
        <w:rPr>
          <w:rFonts w:ascii="標楷體" w:eastAsia="標楷體" w:hAnsi="標楷體" w:cs="Times New Roman" w:hint="eastAsia"/>
          <w:sz w:val="28"/>
          <w:szCs w:val="28"/>
        </w:rPr>
        <w:t>之困境，爰以「</w:t>
      </w:r>
      <w:r w:rsidR="008E7B1B">
        <w:rPr>
          <w:rFonts w:ascii="標楷體" w:eastAsia="標楷體" w:hAnsi="標楷體" w:cs="Times New Roman" w:hint="eastAsia"/>
          <w:sz w:val="28"/>
          <w:szCs w:val="28"/>
        </w:rPr>
        <w:t>保障</w:t>
      </w:r>
      <w:r w:rsidRPr="00AF1EFD">
        <w:rPr>
          <w:rFonts w:ascii="標楷體" w:eastAsia="標楷體" w:hAnsi="標楷體" w:cs="Times New Roman" w:hint="eastAsia"/>
          <w:sz w:val="28"/>
          <w:szCs w:val="28"/>
        </w:rPr>
        <w:t>病人權益</w:t>
      </w:r>
      <w:r w:rsidR="008E7B1B">
        <w:rPr>
          <w:rFonts w:ascii="標楷體" w:eastAsia="標楷體" w:hAnsi="標楷體" w:cs="Times New Roman" w:hint="eastAsia"/>
          <w:sz w:val="28"/>
          <w:szCs w:val="28"/>
        </w:rPr>
        <w:t>、促進醫</w:t>
      </w:r>
      <w:r w:rsidR="00BE209F">
        <w:rPr>
          <w:rFonts w:ascii="標楷體" w:eastAsia="標楷體" w:hAnsi="標楷體" w:cs="Times New Roman" w:hint="eastAsia"/>
          <w:sz w:val="28"/>
          <w:szCs w:val="28"/>
        </w:rPr>
        <w:t>病</w:t>
      </w:r>
      <w:bookmarkStart w:id="0" w:name="_GoBack"/>
      <w:bookmarkEnd w:id="0"/>
      <w:r w:rsidR="008E7B1B">
        <w:rPr>
          <w:rFonts w:ascii="標楷體" w:eastAsia="標楷體" w:hAnsi="標楷體" w:cs="Times New Roman" w:hint="eastAsia"/>
          <w:sz w:val="28"/>
          <w:szCs w:val="28"/>
        </w:rPr>
        <w:t>關係與提升醫療品質</w:t>
      </w:r>
      <w:r w:rsidRPr="00AF1EFD">
        <w:rPr>
          <w:rFonts w:ascii="標楷體" w:eastAsia="標楷體" w:hAnsi="標楷體" w:cs="Times New Roman" w:hint="eastAsia"/>
          <w:sz w:val="28"/>
          <w:szCs w:val="28"/>
        </w:rPr>
        <w:t>」為核心，</w:t>
      </w:r>
      <w:r w:rsidR="008E7B1B">
        <w:rPr>
          <w:rFonts w:ascii="標楷體" w:eastAsia="標楷體" w:hAnsi="標楷體" w:cs="Times New Roman" w:hint="eastAsia"/>
          <w:sz w:val="28"/>
          <w:szCs w:val="28"/>
        </w:rPr>
        <w:t>以</w:t>
      </w:r>
      <w:r w:rsidR="00A21F55" w:rsidRPr="00AF1EFD">
        <w:rPr>
          <w:rFonts w:ascii="標楷體" w:eastAsia="標楷體" w:hAnsi="標楷體" w:cs="Times New Roman" w:hint="eastAsia"/>
          <w:sz w:val="28"/>
          <w:szCs w:val="28"/>
        </w:rPr>
        <w:t>「說明、溝通及關懷」、</w:t>
      </w:r>
      <w:r w:rsidRPr="00AF1EFD">
        <w:rPr>
          <w:rFonts w:ascii="標楷體" w:eastAsia="標楷體" w:hAnsi="標楷體" w:cs="Times New Roman" w:hint="eastAsia"/>
          <w:sz w:val="28"/>
          <w:szCs w:val="28"/>
        </w:rPr>
        <w:t>「強化調解機制」、「</w:t>
      </w:r>
      <w:r w:rsidR="008E7B1B">
        <w:rPr>
          <w:rFonts w:ascii="標楷體" w:eastAsia="標楷體" w:hAnsi="標楷體" w:cs="Times New Roman" w:hint="eastAsia"/>
          <w:sz w:val="28"/>
          <w:szCs w:val="28"/>
        </w:rPr>
        <w:t>建立系統</w:t>
      </w:r>
      <w:r w:rsidR="00A21F55" w:rsidRPr="00AF1EFD">
        <w:rPr>
          <w:rFonts w:ascii="標楷體" w:eastAsia="標楷體" w:hAnsi="標楷體" w:cs="Times New Roman" w:hint="eastAsia"/>
          <w:sz w:val="28"/>
          <w:szCs w:val="28"/>
        </w:rPr>
        <w:t>除錯機制</w:t>
      </w:r>
      <w:r w:rsidRPr="00AF1EFD">
        <w:rPr>
          <w:rFonts w:ascii="標楷體" w:eastAsia="標楷體" w:hAnsi="標楷體" w:cs="Times New Roman" w:hint="eastAsia"/>
          <w:sz w:val="28"/>
          <w:szCs w:val="28"/>
        </w:rPr>
        <w:t>」</w:t>
      </w:r>
      <w:r w:rsidR="00A21F55" w:rsidRPr="00AF1EFD">
        <w:rPr>
          <w:rFonts w:ascii="標楷體" w:eastAsia="標楷體" w:hAnsi="標楷體" w:cs="Times New Roman" w:hint="eastAsia"/>
          <w:sz w:val="28"/>
          <w:szCs w:val="28"/>
        </w:rPr>
        <w:t>三</w:t>
      </w:r>
      <w:r w:rsidRPr="00AF1EFD">
        <w:rPr>
          <w:rFonts w:ascii="標楷體" w:eastAsia="標楷體" w:hAnsi="標楷體" w:cs="Times New Roman" w:hint="eastAsia"/>
          <w:sz w:val="28"/>
          <w:szCs w:val="28"/>
        </w:rPr>
        <w:t>大面向，擬具</w:t>
      </w:r>
      <w:r w:rsidRPr="00AF1EFD">
        <w:rPr>
          <w:rFonts w:ascii="標楷體" w:eastAsia="標楷體" w:hAnsi="標楷體" w:cs="Times New Roman"/>
          <w:sz w:val="28"/>
          <w:szCs w:val="28"/>
        </w:rPr>
        <w:t>「</w:t>
      </w:r>
      <w:r w:rsidR="00A21F55" w:rsidRPr="00AF1EFD">
        <w:rPr>
          <w:rFonts w:ascii="標楷體" w:eastAsia="標楷體" w:hAnsi="標楷體" w:cs="Times New Roman" w:hint="eastAsia"/>
          <w:sz w:val="28"/>
          <w:szCs w:val="28"/>
        </w:rPr>
        <w:t>醫事爭議處理法</w:t>
      </w:r>
      <w:r w:rsidRPr="00AF1EFD">
        <w:rPr>
          <w:rFonts w:ascii="標楷體" w:eastAsia="標楷體" w:hAnsi="標楷體" w:cs="Times New Roman"/>
          <w:sz w:val="28"/>
          <w:szCs w:val="28"/>
        </w:rPr>
        <w:t>」</w:t>
      </w:r>
      <w:r w:rsidRPr="00AF1EFD">
        <w:rPr>
          <w:rFonts w:ascii="標楷體" w:eastAsia="標楷體" w:hAnsi="標楷體" w:cs="Times New Roman" w:hint="eastAsia"/>
          <w:sz w:val="28"/>
          <w:szCs w:val="28"/>
        </w:rPr>
        <w:t>草案</w:t>
      </w:r>
      <w:r w:rsidRPr="00AF1EFD">
        <w:rPr>
          <w:rFonts w:ascii="標楷體" w:eastAsia="標楷體" w:hAnsi="標楷體" w:cs="Times New Roman"/>
          <w:sz w:val="28"/>
          <w:szCs w:val="28"/>
        </w:rPr>
        <w:t>，</w:t>
      </w:r>
      <w:r w:rsidRPr="00AF1EFD">
        <w:rPr>
          <w:rFonts w:ascii="標楷體" w:eastAsia="標楷體" w:hAnsi="標楷體" w:cs="Times New Roman" w:hint="eastAsia"/>
          <w:sz w:val="28"/>
          <w:szCs w:val="28"/>
        </w:rPr>
        <w:t>其</w:t>
      </w:r>
      <w:r w:rsidRPr="00AF1EFD">
        <w:rPr>
          <w:rFonts w:ascii="標楷體" w:eastAsia="標楷體" w:hAnsi="標楷體" w:cs="Times New Roman"/>
          <w:sz w:val="28"/>
          <w:szCs w:val="28"/>
        </w:rPr>
        <w:t>要點如下：</w:t>
      </w:r>
    </w:p>
    <w:p w:rsidR="00C1257A" w:rsidRPr="00AF1EFD" w:rsidRDefault="00C1257A" w:rsidP="00BC0602">
      <w:pPr>
        <w:pStyle w:val="a7"/>
        <w:numPr>
          <w:ilvl w:val="0"/>
          <w:numId w:val="5"/>
        </w:numPr>
        <w:spacing w:line="460" w:lineRule="exact"/>
        <w:ind w:leftChars="0"/>
        <w:jc w:val="both"/>
        <w:rPr>
          <w:rFonts w:ascii="標楷體" w:eastAsia="標楷體" w:hAnsi="標楷體" w:cs="Times New Roman"/>
          <w:sz w:val="28"/>
        </w:rPr>
      </w:pPr>
      <w:r w:rsidRPr="00AF1EFD">
        <w:rPr>
          <w:rFonts w:ascii="標楷體" w:eastAsia="標楷體" w:hAnsi="標楷體" w:cs="Times New Roman"/>
          <w:sz w:val="28"/>
        </w:rPr>
        <w:t>本法立法目的</w:t>
      </w:r>
      <w:r w:rsidRPr="00AF1EFD">
        <w:rPr>
          <w:rFonts w:ascii="標楷體" w:eastAsia="標楷體" w:hAnsi="標楷體" w:cs="Times New Roman" w:hint="eastAsia"/>
          <w:sz w:val="28"/>
        </w:rPr>
        <w:t>及</w:t>
      </w:r>
      <w:r w:rsidRPr="00AF1EFD">
        <w:rPr>
          <w:rFonts w:ascii="標楷體" w:eastAsia="標楷體" w:hAnsi="標楷體" w:cs="Times New Roman"/>
          <w:sz w:val="28"/>
        </w:rPr>
        <w:t>主</w:t>
      </w:r>
      <w:r w:rsidRPr="00AF1EFD">
        <w:rPr>
          <w:rFonts w:ascii="標楷體" w:eastAsia="標楷體" w:hAnsi="標楷體" w:cs="Times New Roman" w:hint="eastAsia"/>
          <w:sz w:val="28"/>
        </w:rPr>
        <w:t>管</w:t>
      </w:r>
      <w:r w:rsidRPr="00AF1EFD">
        <w:rPr>
          <w:rFonts w:ascii="標楷體" w:eastAsia="標楷體" w:hAnsi="標楷體" w:cs="Times New Roman"/>
          <w:sz w:val="28"/>
        </w:rPr>
        <w:t>機關。(</w:t>
      </w:r>
      <w:r w:rsidRPr="00AF1EFD">
        <w:rPr>
          <w:rFonts w:ascii="標楷體" w:eastAsia="標楷體" w:hAnsi="標楷體" w:cs="Times New Roman" w:hint="eastAsia"/>
          <w:sz w:val="28"/>
        </w:rPr>
        <w:t>草案</w:t>
      </w:r>
      <w:r w:rsidRPr="00AF1EFD">
        <w:rPr>
          <w:rFonts w:ascii="標楷體" w:eastAsia="標楷體" w:hAnsi="標楷體" w:cs="Times New Roman"/>
          <w:sz w:val="28"/>
        </w:rPr>
        <w:t>第一條</w:t>
      </w:r>
      <w:r w:rsidRPr="00AF1EFD">
        <w:rPr>
          <w:rFonts w:ascii="標楷體" w:eastAsia="標楷體" w:hAnsi="標楷體" w:cs="Times New Roman" w:hint="eastAsia"/>
          <w:sz w:val="28"/>
        </w:rPr>
        <w:t>及</w:t>
      </w:r>
      <w:r w:rsidRPr="00AF1EFD">
        <w:rPr>
          <w:rFonts w:ascii="標楷體" w:eastAsia="標楷體" w:hAnsi="標楷體" w:cs="Times New Roman"/>
          <w:sz w:val="28"/>
        </w:rPr>
        <w:t>第二條)</w:t>
      </w:r>
    </w:p>
    <w:p w:rsidR="00C1257A" w:rsidRPr="00AF1EFD" w:rsidRDefault="00C1257A" w:rsidP="00BC0602">
      <w:pPr>
        <w:pStyle w:val="a7"/>
        <w:numPr>
          <w:ilvl w:val="0"/>
          <w:numId w:val="5"/>
        </w:numPr>
        <w:spacing w:line="460" w:lineRule="exact"/>
        <w:ind w:leftChars="0"/>
        <w:jc w:val="both"/>
        <w:rPr>
          <w:rFonts w:ascii="標楷體" w:eastAsia="標楷體" w:hAnsi="標楷體" w:cs="Times New Roman"/>
          <w:sz w:val="28"/>
        </w:rPr>
      </w:pPr>
      <w:r w:rsidRPr="00AF1EFD">
        <w:rPr>
          <w:rFonts w:ascii="標楷體" w:eastAsia="標楷體" w:hAnsi="標楷體" w:cs="Times New Roman"/>
          <w:sz w:val="28"/>
        </w:rPr>
        <w:t>本法</w:t>
      </w:r>
      <w:r w:rsidRPr="00AF1EFD">
        <w:rPr>
          <w:rFonts w:ascii="標楷體" w:eastAsia="標楷體" w:hAnsi="標楷體" w:cs="Times New Roman" w:hint="eastAsia"/>
          <w:sz w:val="28"/>
        </w:rPr>
        <w:t>關於</w:t>
      </w:r>
      <w:r w:rsidR="00A21F55" w:rsidRPr="00AF1EFD">
        <w:rPr>
          <w:rFonts w:ascii="標楷體" w:eastAsia="標楷體" w:hAnsi="標楷體" w:cs="Times New Roman" w:hint="eastAsia"/>
          <w:sz w:val="28"/>
        </w:rPr>
        <w:t>醫事爭議</w:t>
      </w:r>
      <w:r w:rsidRPr="00AF1EFD">
        <w:rPr>
          <w:rFonts w:ascii="標楷體" w:eastAsia="標楷體" w:hAnsi="標楷體" w:cs="Times New Roman"/>
          <w:sz w:val="28"/>
        </w:rPr>
        <w:t>、</w:t>
      </w:r>
      <w:r w:rsidRPr="00AF1EFD">
        <w:rPr>
          <w:rFonts w:ascii="標楷體" w:eastAsia="標楷體" w:hAnsi="標楷體" w:cs="Times New Roman" w:hint="eastAsia"/>
          <w:sz w:val="28"/>
        </w:rPr>
        <w:t>醫</w:t>
      </w:r>
      <w:r w:rsidR="00A21F55" w:rsidRPr="00AF1EFD">
        <w:rPr>
          <w:rFonts w:ascii="標楷體" w:eastAsia="標楷體" w:hAnsi="標楷體" w:cs="Times New Roman" w:hint="eastAsia"/>
          <w:sz w:val="28"/>
        </w:rPr>
        <w:t>事</w:t>
      </w:r>
      <w:r w:rsidRPr="00AF1EFD">
        <w:rPr>
          <w:rFonts w:ascii="標楷體" w:eastAsia="標楷體" w:hAnsi="標楷體" w:cs="Times New Roman" w:hint="eastAsia"/>
          <w:sz w:val="28"/>
        </w:rPr>
        <w:t>事故、當事人等名詞</w:t>
      </w:r>
      <w:r w:rsidRPr="00AF1EFD">
        <w:rPr>
          <w:rFonts w:ascii="標楷體" w:eastAsia="標楷體" w:hAnsi="標楷體" w:cs="Times New Roman"/>
          <w:sz w:val="28"/>
        </w:rPr>
        <w:t>定義。(</w:t>
      </w:r>
      <w:r w:rsidRPr="00AF1EFD">
        <w:rPr>
          <w:rFonts w:ascii="標楷體" w:eastAsia="標楷體" w:hAnsi="標楷體" w:cs="Times New Roman" w:hint="eastAsia"/>
          <w:sz w:val="28"/>
        </w:rPr>
        <w:t>草案</w:t>
      </w:r>
      <w:r w:rsidRPr="00AF1EFD">
        <w:rPr>
          <w:rFonts w:ascii="標楷體" w:eastAsia="標楷體" w:hAnsi="標楷體" w:cs="Times New Roman"/>
          <w:sz w:val="28"/>
        </w:rPr>
        <w:t>第三條)</w:t>
      </w:r>
    </w:p>
    <w:p w:rsidR="00A21F55" w:rsidRPr="00AF1EFD" w:rsidRDefault="00D932EF" w:rsidP="00BC0602">
      <w:pPr>
        <w:pStyle w:val="a7"/>
        <w:numPr>
          <w:ilvl w:val="0"/>
          <w:numId w:val="5"/>
        </w:numPr>
        <w:spacing w:line="460" w:lineRule="exact"/>
        <w:ind w:leftChars="0"/>
        <w:jc w:val="both"/>
        <w:rPr>
          <w:rFonts w:ascii="標楷體" w:eastAsia="標楷體" w:hAnsi="標楷體" w:cs="Times New Roman"/>
          <w:sz w:val="28"/>
        </w:rPr>
      </w:pPr>
      <w:r w:rsidRPr="00AF1EFD">
        <w:rPr>
          <w:rFonts w:ascii="標楷體" w:eastAsia="標楷體" w:hAnsi="標楷體" w:cs="Times New Roman" w:hint="eastAsia"/>
          <w:sz w:val="28"/>
        </w:rPr>
        <w:t>一百床以上</w:t>
      </w:r>
      <w:r w:rsidR="00C1257A" w:rsidRPr="00AF1EFD">
        <w:rPr>
          <w:rFonts w:ascii="標楷體" w:eastAsia="標楷體" w:hAnsi="標楷體" w:cs="Times New Roman" w:hint="eastAsia"/>
          <w:sz w:val="28"/>
        </w:rPr>
        <w:t>醫</w:t>
      </w:r>
      <w:r w:rsidR="00A21F55" w:rsidRPr="00AF1EFD">
        <w:rPr>
          <w:rFonts w:ascii="標楷體" w:eastAsia="標楷體" w:hAnsi="標楷體" w:cs="Times New Roman" w:hint="eastAsia"/>
          <w:sz w:val="28"/>
        </w:rPr>
        <w:t>院應設醫事爭議關懷小組，</w:t>
      </w:r>
      <w:r w:rsidR="00C1257A" w:rsidRPr="00AF1EFD">
        <w:rPr>
          <w:rFonts w:ascii="標楷體" w:eastAsia="標楷體" w:hAnsi="標楷體" w:cs="Times New Roman" w:hint="eastAsia"/>
          <w:sz w:val="28"/>
        </w:rPr>
        <w:t>遇有醫</w:t>
      </w:r>
      <w:r w:rsidR="00C56498">
        <w:rPr>
          <w:rFonts w:ascii="標楷體" w:eastAsia="標楷體" w:hAnsi="標楷體" w:cs="Times New Roman" w:hint="eastAsia"/>
          <w:sz w:val="28"/>
        </w:rPr>
        <w:t>事</w:t>
      </w:r>
      <w:r w:rsidR="00C1257A" w:rsidRPr="00AF1EFD">
        <w:rPr>
          <w:rFonts w:ascii="標楷體" w:eastAsia="標楷體" w:hAnsi="標楷體" w:cs="Times New Roman" w:hint="eastAsia"/>
          <w:sz w:val="28"/>
        </w:rPr>
        <w:t>爭議，應即與病人方說明或溝通，並</w:t>
      </w:r>
      <w:r w:rsidRPr="00AF1EFD">
        <w:rPr>
          <w:rFonts w:ascii="標楷體" w:eastAsia="標楷體" w:hAnsi="標楷體" w:cs="Times New Roman" w:hint="eastAsia"/>
          <w:sz w:val="28"/>
        </w:rPr>
        <w:t>主動</w:t>
      </w:r>
      <w:r w:rsidR="00A21F55" w:rsidRPr="00AF1EFD">
        <w:rPr>
          <w:rFonts w:ascii="標楷體" w:eastAsia="標楷體" w:hAnsi="標楷體" w:cs="Times New Roman" w:hint="eastAsia"/>
          <w:sz w:val="28"/>
        </w:rPr>
        <w:t>告知病人申請評析之程序及其他相關資訊。</w:t>
      </w:r>
      <w:r w:rsidRPr="00AF1EFD">
        <w:rPr>
          <w:rFonts w:ascii="標楷體" w:eastAsia="標楷體" w:hAnsi="標楷體" w:cs="Times New Roman"/>
          <w:sz w:val="28"/>
        </w:rPr>
        <w:t>(</w:t>
      </w:r>
      <w:r w:rsidRPr="00AF1EFD">
        <w:rPr>
          <w:rFonts w:ascii="標楷體" w:eastAsia="標楷體" w:hAnsi="標楷體" w:cs="Times New Roman" w:hint="eastAsia"/>
          <w:sz w:val="28"/>
        </w:rPr>
        <w:t>草案</w:t>
      </w:r>
      <w:r w:rsidRPr="00AF1EFD">
        <w:rPr>
          <w:rFonts w:ascii="標楷體" w:eastAsia="標楷體" w:hAnsi="標楷體" w:cs="Times New Roman"/>
          <w:sz w:val="28"/>
        </w:rPr>
        <w:t>第</w:t>
      </w:r>
      <w:r w:rsidRPr="00AF1EFD">
        <w:rPr>
          <w:rFonts w:ascii="標楷體" w:eastAsia="標楷體" w:hAnsi="標楷體" w:cs="Times New Roman" w:hint="eastAsia"/>
          <w:sz w:val="28"/>
        </w:rPr>
        <w:t>四</w:t>
      </w:r>
      <w:r w:rsidRPr="00AF1EFD">
        <w:rPr>
          <w:rFonts w:ascii="標楷體" w:eastAsia="標楷體" w:hAnsi="標楷體" w:cs="Times New Roman"/>
          <w:sz w:val="28"/>
        </w:rPr>
        <w:t>條)</w:t>
      </w:r>
    </w:p>
    <w:p w:rsidR="00C1257A" w:rsidRPr="00AF1EFD" w:rsidRDefault="00D932EF" w:rsidP="00BC0602">
      <w:pPr>
        <w:pStyle w:val="a7"/>
        <w:numPr>
          <w:ilvl w:val="0"/>
          <w:numId w:val="5"/>
        </w:numPr>
        <w:spacing w:line="460" w:lineRule="exact"/>
        <w:ind w:leftChars="0"/>
        <w:jc w:val="both"/>
        <w:rPr>
          <w:rFonts w:ascii="標楷體" w:eastAsia="標楷體" w:hAnsi="標楷體" w:cs="Times New Roman"/>
          <w:sz w:val="28"/>
        </w:rPr>
      </w:pPr>
      <w:r w:rsidRPr="00AF1EFD">
        <w:rPr>
          <w:rFonts w:ascii="標楷體" w:eastAsia="標楷體" w:hAnsi="標楷體" w:cs="Times New Roman" w:hint="eastAsia"/>
          <w:sz w:val="28"/>
        </w:rPr>
        <w:t>醫療機構應</w:t>
      </w:r>
      <w:r w:rsidR="00C1257A" w:rsidRPr="00AF1EFD">
        <w:rPr>
          <w:rFonts w:ascii="標楷體" w:eastAsia="標楷體" w:hAnsi="標楷體" w:cs="Times New Roman" w:hint="eastAsia"/>
          <w:sz w:val="28"/>
        </w:rPr>
        <w:t>配合</w:t>
      </w:r>
      <w:r w:rsidRPr="00AF1EFD">
        <w:rPr>
          <w:rFonts w:ascii="標楷體" w:eastAsia="標楷體" w:hAnsi="標楷體" w:cs="Times New Roman" w:hint="eastAsia"/>
          <w:sz w:val="28"/>
        </w:rPr>
        <w:t>病人</w:t>
      </w:r>
      <w:r w:rsidR="00C1257A" w:rsidRPr="00AF1EFD">
        <w:rPr>
          <w:rFonts w:ascii="標楷體" w:eastAsia="標楷體" w:hAnsi="標楷體" w:cs="Times New Roman" w:hint="eastAsia"/>
          <w:sz w:val="28"/>
        </w:rPr>
        <w:t>要求</w:t>
      </w:r>
      <w:r w:rsidRPr="00AF1EFD">
        <w:rPr>
          <w:rFonts w:ascii="標楷體" w:eastAsia="標楷體" w:hAnsi="標楷體" w:cs="Times New Roman" w:hint="eastAsia"/>
          <w:sz w:val="28"/>
        </w:rPr>
        <w:t>，於一定期日內</w:t>
      </w:r>
      <w:r w:rsidR="00C1257A" w:rsidRPr="00AF1EFD">
        <w:rPr>
          <w:rFonts w:ascii="標楷體" w:eastAsia="標楷體" w:hAnsi="標楷體" w:cs="Times New Roman" w:hint="eastAsia"/>
          <w:sz w:val="28"/>
        </w:rPr>
        <w:t>提供病歷</w:t>
      </w:r>
      <w:r w:rsidR="00C1257A" w:rsidRPr="00AF1EFD">
        <w:rPr>
          <w:rFonts w:ascii="標楷體" w:eastAsia="標楷體" w:hAnsi="標楷體" w:cs="Times New Roman"/>
          <w:sz w:val="28"/>
        </w:rPr>
        <w:t>。(</w:t>
      </w:r>
      <w:r w:rsidR="00C1257A" w:rsidRPr="00AF1EFD">
        <w:rPr>
          <w:rFonts w:ascii="標楷體" w:eastAsia="標楷體" w:hAnsi="標楷體" w:cs="Times New Roman" w:hint="eastAsia"/>
          <w:sz w:val="28"/>
        </w:rPr>
        <w:t>草案</w:t>
      </w:r>
      <w:r w:rsidR="00C1257A" w:rsidRPr="00AF1EFD">
        <w:rPr>
          <w:rFonts w:ascii="標楷體" w:eastAsia="標楷體" w:hAnsi="標楷體" w:cs="Times New Roman"/>
          <w:sz w:val="28"/>
        </w:rPr>
        <w:t>第</w:t>
      </w:r>
      <w:r w:rsidRPr="00AF1EFD">
        <w:rPr>
          <w:rFonts w:ascii="標楷體" w:eastAsia="標楷體" w:hAnsi="標楷體" w:cs="Times New Roman"/>
          <w:sz w:val="28"/>
        </w:rPr>
        <w:t>五</w:t>
      </w:r>
      <w:r w:rsidR="00C1257A" w:rsidRPr="00AF1EFD">
        <w:rPr>
          <w:rFonts w:ascii="標楷體" w:eastAsia="標楷體" w:hAnsi="標楷體" w:cs="Times New Roman"/>
          <w:sz w:val="28"/>
        </w:rPr>
        <w:t>條)</w:t>
      </w:r>
    </w:p>
    <w:p w:rsidR="00C1257A" w:rsidRPr="00AF1EFD" w:rsidRDefault="00C1257A" w:rsidP="00BC0602">
      <w:pPr>
        <w:pStyle w:val="a7"/>
        <w:numPr>
          <w:ilvl w:val="0"/>
          <w:numId w:val="5"/>
        </w:numPr>
        <w:spacing w:line="460" w:lineRule="exact"/>
        <w:ind w:leftChars="0"/>
        <w:jc w:val="both"/>
        <w:rPr>
          <w:rFonts w:ascii="標楷體" w:eastAsia="標楷體" w:hAnsi="標楷體" w:cs="Times New Roman"/>
          <w:sz w:val="28"/>
        </w:rPr>
      </w:pPr>
      <w:r w:rsidRPr="00AF1EFD">
        <w:rPr>
          <w:rFonts w:ascii="標楷體" w:eastAsia="標楷體" w:hAnsi="標楷體" w:cs="Times New Roman" w:hint="eastAsia"/>
          <w:sz w:val="28"/>
        </w:rPr>
        <w:t>直轄市、縣（市）醫</w:t>
      </w:r>
      <w:r w:rsidR="00C56498">
        <w:rPr>
          <w:rFonts w:ascii="標楷體" w:eastAsia="標楷體" w:hAnsi="標楷體" w:cs="Times New Roman" w:hint="eastAsia"/>
          <w:sz w:val="28"/>
        </w:rPr>
        <w:t>事</w:t>
      </w:r>
      <w:r w:rsidRPr="00AF1EFD">
        <w:rPr>
          <w:rFonts w:ascii="標楷體" w:eastAsia="標楷體" w:hAnsi="標楷體" w:cs="Times New Roman" w:hint="eastAsia"/>
          <w:sz w:val="28"/>
        </w:rPr>
        <w:t>爭議調解會之組成、調解程序進行、調解成</w:t>
      </w:r>
      <w:r w:rsidRPr="00AF1EFD">
        <w:rPr>
          <w:rFonts w:ascii="標楷體" w:eastAsia="標楷體" w:hAnsi="標楷體" w:cs="Times New Roman" w:hint="eastAsia"/>
          <w:sz w:val="28"/>
        </w:rPr>
        <w:lastRenderedPageBreak/>
        <w:t>立或不成立之核定及效果</w:t>
      </w:r>
      <w:r w:rsidRPr="00AF1EFD">
        <w:rPr>
          <w:rFonts w:ascii="標楷體" w:eastAsia="標楷體" w:hAnsi="標楷體" w:cs="Times New Roman"/>
          <w:sz w:val="28"/>
        </w:rPr>
        <w:t>。(</w:t>
      </w:r>
      <w:r w:rsidRPr="00AF1EFD">
        <w:rPr>
          <w:rFonts w:ascii="標楷體" w:eastAsia="標楷體" w:hAnsi="標楷體" w:cs="Times New Roman" w:hint="eastAsia"/>
          <w:sz w:val="28"/>
        </w:rPr>
        <w:t>草案</w:t>
      </w:r>
      <w:r w:rsidRPr="00AF1EFD">
        <w:rPr>
          <w:rFonts w:ascii="標楷體" w:eastAsia="標楷體" w:hAnsi="標楷體" w:cs="Times New Roman"/>
          <w:sz w:val="28"/>
        </w:rPr>
        <w:t>第</w:t>
      </w:r>
      <w:r w:rsidRPr="00AF1EFD">
        <w:rPr>
          <w:rFonts w:ascii="標楷體" w:eastAsia="標楷體" w:hAnsi="標楷體" w:cs="Times New Roman" w:hint="eastAsia"/>
          <w:sz w:val="28"/>
        </w:rPr>
        <w:t>八</w:t>
      </w:r>
      <w:r w:rsidRPr="00AF1EFD">
        <w:rPr>
          <w:rFonts w:ascii="標楷體" w:eastAsia="標楷體" w:hAnsi="標楷體" w:cs="Times New Roman"/>
          <w:sz w:val="28"/>
        </w:rPr>
        <w:t>條</w:t>
      </w:r>
      <w:r w:rsidRPr="00AF1EFD">
        <w:rPr>
          <w:rFonts w:ascii="標楷體" w:eastAsia="標楷體" w:hAnsi="標楷體" w:cs="Times New Roman" w:hint="eastAsia"/>
          <w:sz w:val="28"/>
        </w:rPr>
        <w:t>、第九條</w:t>
      </w:r>
      <w:r w:rsidR="00D932EF" w:rsidRPr="00AF1EFD">
        <w:rPr>
          <w:rFonts w:ascii="標楷體" w:eastAsia="標楷體" w:hAnsi="標楷體" w:cs="Times New Roman" w:hint="eastAsia"/>
          <w:sz w:val="28"/>
        </w:rPr>
        <w:t>、第十三條</w:t>
      </w:r>
      <w:r w:rsidRPr="00AF1EFD">
        <w:rPr>
          <w:rFonts w:ascii="標楷體" w:eastAsia="標楷體" w:hAnsi="標楷體" w:cs="Times New Roman" w:hint="eastAsia"/>
          <w:sz w:val="28"/>
        </w:rPr>
        <w:t>至第二十</w:t>
      </w:r>
      <w:r w:rsidR="00D932EF" w:rsidRPr="00AF1EFD">
        <w:rPr>
          <w:rFonts w:ascii="標楷體" w:eastAsia="標楷體" w:hAnsi="標楷體" w:cs="Times New Roman" w:hint="eastAsia"/>
          <w:sz w:val="28"/>
        </w:rPr>
        <w:t>八</w:t>
      </w:r>
      <w:r w:rsidRPr="00AF1EFD">
        <w:rPr>
          <w:rFonts w:ascii="標楷體" w:eastAsia="標楷體" w:hAnsi="標楷體" w:cs="Times New Roman" w:hint="eastAsia"/>
          <w:sz w:val="28"/>
        </w:rPr>
        <w:t>條</w:t>
      </w:r>
      <w:r w:rsidRPr="00AF1EFD">
        <w:rPr>
          <w:rFonts w:ascii="標楷體" w:eastAsia="標楷體" w:hAnsi="標楷體" w:cs="Times New Roman"/>
          <w:sz w:val="28"/>
        </w:rPr>
        <w:t>)</w:t>
      </w:r>
      <w:r w:rsidRPr="00AF1EFD">
        <w:rPr>
          <w:rFonts w:ascii="標楷體" w:eastAsia="標楷體" w:hAnsi="標楷體" w:cs="Times New Roman" w:hint="eastAsia"/>
          <w:sz w:val="28"/>
        </w:rPr>
        <w:t xml:space="preserve"> </w:t>
      </w:r>
    </w:p>
    <w:p w:rsidR="00C1257A" w:rsidRPr="00AF1EFD" w:rsidRDefault="00C1257A" w:rsidP="00BC0602">
      <w:pPr>
        <w:pStyle w:val="a7"/>
        <w:numPr>
          <w:ilvl w:val="0"/>
          <w:numId w:val="5"/>
        </w:numPr>
        <w:spacing w:line="460" w:lineRule="exact"/>
        <w:ind w:leftChars="0"/>
        <w:jc w:val="both"/>
        <w:rPr>
          <w:rFonts w:ascii="標楷體" w:eastAsia="標楷體" w:hAnsi="標楷體" w:cs="Times New Roman"/>
          <w:sz w:val="28"/>
        </w:rPr>
      </w:pPr>
      <w:r w:rsidRPr="00AF1EFD">
        <w:rPr>
          <w:rFonts w:ascii="標楷體" w:eastAsia="標楷體" w:hAnsi="標楷體" w:cs="Times New Roman" w:hint="eastAsia"/>
          <w:sz w:val="28"/>
        </w:rPr>
        <w:t>未依</w:t>
      </w:r>
      <w:r w:rsidR="00237238">
        <w:rPr>
          <w:rFonts w:ascii="標楷體" w:eastAsia="標楷體" w:hAnsi="標楷體" w:cs="Times New Roman" w:hint="eastAsia"/>
          <w:sz w:val="28"/>
        </w:rPr>
        <w:t>本</w:t>
      </w:r>
      <w:r w:rsidRPr="00AF1EFD">
        <w:rPr>
          <w:rFonts w:ascii="標楷體" w:eastAsia="標楷體" w:hAnsi="標楷體" w:cs="Times New Roman" w:hint="eastAsia"/>
          <w:sz w:val="28"/>
        </w:rPr>
        <w:t>法申請調解不得提起醫療</w:t>
      </w:r>
      <w:r w:rsidR="00C56498">
        <w:rPr>
          <w:rFonts w:ascii="標楷體" w:eastAsia="標楷體" w:hAnsi="標楷體" w:cs="Times New Roman" w:hint="eastAsia"/>
          <w:sz w:val="28"/>
        </w:rPr>
        <w:t>事爭議</w:t>
      </w:r>
      <w:r w:rsidRPr="00AF1EFD">
        <w:rPr>
          <w:rFonts w:ascii="標楷體" w:eastAsia="標楷體" w:hAnsi="標楷體" w:cs="Times New Roman" w:hint="eastAsia"/>
          <w:sz w:val="28"/>
        </w:rPr>
        <w:t>事件之民事訴訟；刑事案件涉及醫</w:t>
      </w:r>
      <w:r w:rsidR="00C56498">
        <w:rPr>
          <w:rFonts w:ascii="標楷體" w:eastAsia="標楷體" w:hAnsi="標楷體" w:cs="Times New Roman" w:hint="eastAsia"/>
          <w:sz w:val="28"/>
        </w:rPr>
        <w:t>事</w:t>
      </w:r>
      <w:r w:rsidRPr="00AF1EFD">
        <w:rPr>
          <w:rFonts w:ascii="標楷體" w:eastAsia="標楷體" w:hAnsi="標楷體" w:cs="Times New Roman" w:hint="eastAsia"/>
          <w:sz w:val="28"/>
        </w:rPr>
        <w:t>爭議時，應由檢察官函請或由法院移付管轄之調解會先行調解。</w:t>
      </w:r>
      <w:r w:rsidRPr="00AF1EFD">
        <w:rPr>
          <w:rFonts w:ascii="標楷體" w:eastAsia="標楷體" w:hAnsi="標楷體" w:cs="Times New Roman"/>
          <w:sz w:val="28"/>
        </w:rPr>
        <w:t>(</w:t>
      </w:r>
      <w:r w:rsidRPr="00AF1EFD">
        <w:rPr>
          <w:rFonts w:ascii="標楷體" w:eastAsia="標楷體" w:hAnsi="標楷體" w:cs="Times New Roman" w:hint="eastAsia"/>
          <w:sz w:val="28"/>
        </w:rPr>
        <w:t>草案第十</w:t>
      </w:r>
      <w:r w:rsidR="00D932EF" w:rsidRPr="00AF1EFD">
        <w:rPr>
          <w:rFonts w:ascii="標楷體" w:eastAsia="標楷體" w:hAnsi="標楷體" w:cs="Times New Roman" w:hint="eastAsia"/>
          <w:sz w:val="28"/>
        </w:rPr>
        <w:t>一</w:t>
      </w:r>
      <w:r w:rsidRPr="00AF1EFD">
        <w:rPr>
          <w:rFonts w:ascii="標楷體" w:eastAsia="標楷體" w:hAnsi="標楷體" w:cs="Times New Roman" w:hint="eastAsia"/>
          <w:sz w:val="28"/>
        </w:rPr>
        <w:t>條及第十</w:t>
      </w:r>
      <w:r w:rsidR="00D932EF" w:rsidRPr="00AF1EFD">
        <w:rPr>
          <w:rFonts w:ascii="標楷體" w:eastAsia="標楷體" w:hAnsi="標楷體" w:cs="Times New Roman" w:hint="eastAsia"/>
          <w:sz w:val="28"/>
        </w:rPr>
        <w:t>二</w:t>
      </w:r>
      <w:r w:rsidRPr="00AF1EFD">
        <w:rPr>
          <w:rFonts w:ascii="標楷體" w:eastAsia="標楷體" w:hAnsi="標楷體" w:cs="Times New Roman" w:hint="eastAsia"/>
          <w:sz w:val="28"/>
        </w:rPr>
        <w:t>條</w:t>
      </w:r>
      <w:r w:rsidRPr="00AF1EFD">
        <w:rPr>
          <w:rFonts w:ascii="標楷體" w:eastAsia="標楷體" w:hAnsi="標楷體" w:cs="Times New Roman"/>
          <w:sz w:val="28"/>
        </w:rPr>
        <w:t>)</w:t>
      </w:r>
    </w:p>
    <w:p w:rsidR="00C1257A" w:rsidRPr="00AF1EFD" w:rsidRDefault="00D4429F" w:rsidP="00BC0602">
      <w:pPr>
        <w:pStyle w:val="a7"/>
        <w:numPr>
          <w:ilvl w:val="0"/>
          <w:numId w:val="5"/>
        </w:numPr>
        <w:spacing w:line="460" w:lineRule="exact"/>
        <w:ind w:leftChars="0"/>
        <w:jc w:val="both"/>
        <w:rPr>
          <w:rFonts w:ascii="標楷體" w:eastAsia="標楷體" w:hAnsi="標楷體" w:cs="Times New Roman"/>
          <w:sz w:val="28"/>
        </w:rPr>
      </w:pPr>
      <w:r w:rsidRPr="00AF1EFD">
        <w:rPr>
          <w:rFonts w:ascii="標楷體" w:eastAsia="標楷體" w:hAnsi="標楷體" w:cs="Times New Roman" w:hint="eastAsia"/>
          <w:sz w:val="28"/>
        </w:rPr>
        <w:t>中央主管機關得委託具醫事專業之財團法人、機構或團體建立醫事爭議事件資料庫。</w:t>
      </w:r>
      <w:r w:rsidRPr="00AF1EFD">
        <w:rPr>
          <w:rFonts w:ascii="標楷體" w:eastAsia="標楷體" w:hAnsi="標楷體" w:cs="Times New Roman"/>
          <w:sz w:val="28"/>
        </w:rPr>
        <w:t>(</w:t>
      </w:r>
      <w:r w:rsidRPr="00AF1EFD">
        <w:rPr>
          <w:rFonts w:ascii="標楷體" w:eastAsia="標楷體" w:hAnsi="標楷體" w:cs="Times New Roman" w:hint="eastAsia"/>
          <w:sz w:val="28"/>
        </w:rPr>
        <w:t>草案第二十九條</w:t>
      </w:r>
      <w:r w:rsidRPr="00AF1EFD">
        <w:rPr>
          <w:rFonts w:ascii="標楷體" w:eastAsia="標楷體" w:hAnsi="標楷體" w:cs="Times New Roman"/>
          <w:sz w:val="28"/>
        </w:rPr>
        <w:t>)</w:t>
      </w:r>
    </w:p>
    <w:p w:rsidR="00D4429F" w:rsidRPr="00AF1EFD" w:rsidRDefault="00D4429F" w:rsidP="00BC0602">
      <w:pPr>
        <w:pStyle w:val="a7"/>
        <w:numPr>
          <w:ilvl w:val="0"/>
          <w:numId w:val="5"/>
        </w:numPr>
        <w:spacing w:line="460" w:lineRule="exact"/>
        <w:ind w:leftChars="0"/>
        <w:jc w:val="both"/>
        <w:rPr>
          <w:rFonts w:ascii="標楷體" w:eastAsia="標楷體" w:hAnsi="標楷體" w:cs="Times New Roman"/>
          <w:sz w:val="28"/>
        </w:rPr>
      </w:pPr>
      <w:r w:rsidRPr="00AF1EFD">
        <w:rPr>
          <w:rFonts w:ascii="標楷體" w:eastAsia="標楷體" w:hAnsi="標楷體" w:cs="Times New Roman" w:hint="eastAsia"/>
          <w:sz w:val="28"/>
        </w:rPr>
        <w:t>為預防及降低醫事事故風險，醫療機構應建立機構內風險事件管控及通報機制</w:t>
      </w:r>
      <w:r w:rsidR="00C56498">
        <w:rPr>
          <w:rFonts w:ascii="標楷體" w:eastAsia="標楷體" w:hAnsi="標楷體" w:cs="Times New Roman" w:hint="eastAsia"/>
          <w:sz w:val="28"/>
        </w:rPr>
        <w:t>，</w:t>
      </w:r>
      <w:r w:rsidRPr="00AF1EFD">
        <w:rPr>
          <w:rFonts w:ascii="標楷體" w:eastAsia="標楷體" w:hAnsi="標楷體" w:cs="Times New Roman" w:hint="eastAsia"/>
          <w:sz w:val="28"/>
        </w:rPr>
        <w:t>並應就重大醫事事故分析其根本原因、提出改善方案及配合中央主管機關要求進行通報及接受查察。</w:t>
      </w:r>
      <w:r w:rsidRPr="00AF1EFD">
        <w:rPr>
          <w:rFonts w:ascii="標楷體" w:eastAsia="標楷體" w:hAnsi="標楷體" w:cs="Times New Roman"/>
          <w:sz w:val="28"/>
        </w:rPr>
        <w:t>(</w:t>
      </w:r>
      <w:r w:rsidRPr="00AF1EFD">
        <w:rPr>
          <w:rFonts w:ascii="標楷體" w:eastAsia="標楷體" w:hAnsi="標楷體" w:cs="Times New Roman" w:hint="eastAsia"/>
          <w:sz w:val="28"/>
        </w:rPr>
        <w:t>草案第三十條</w:t>
      </w:r>
      <w:r w:rsidRPr="00AF1EFD">
        <w:rPr>
          <w:rFonts w:ascii="標楷體" w:eastAsia="標楷體" w:hAnsi="標楷體" w:cs="Times New Roman"/>
          <w:sz w:val="28"/>
        </w:rPr>
        <w:t>)</w:t>
      </w:r>
    </w:p>
    <w:p w:rsidR="00C1257A" w:rsidRPr="00AF1EFD" w:rsidRDefault="00D4429F" w:rsidP="00BC0602">
      <w:pPr>
        <w:pStyle w:val="a7"/>
        <w:numPr>
          <w:ilvl w:val="0"/>
          <w:numId w:val="5"/>
        </w:numPr>
        <w:spacing w:line="460" w:lineRule="exact"/>
        <w:ind w:leftChars="0"/>
        <w:jc w:val="both"/>
        <w:rPr>
          <w:rFonts w:ascii="標楷體" w:eastAsia="標楷體" w:hAnsi="標楷體" w:cs="Times New Roman"/>
          <w:sz w:val="28"/>
        </w:rPr>
      </w:pPr>
      <w:r w:rsidRPr="00AF1EFD">
        <w:rPr>
          <w:rFonts w:ascii="標楷體" w:eastAsia="標楷體" w:hAnsi="標楷體" w:cs="Times New Roman" w:hint="eastAsia"/>
          <w:sz w:val="28"/>
        </w:rPr>
        <w:t>中央主管機關就醫事爭議事件，得視需要分析發生原因，並命醫療機構檢討及提出改善方案。</w:t>
      </w:r>
      <w:r w:rsidRPr="00AF1EFD">
        <w:rPr>
          <w:rFonts w:ascii="標楷體" w:eastAsia="標楷體" w:hAnsi="標楷體" w:cs="Times New Roman"/>
          <w:sz w:val="28"/>
        </w:rPr>
        <w:t xml:space="preserve"> </w:t>
      </w:r>
      <w:r w:rsidR="00C1257A" w:rsidRPr="00AF1EFD">
        <w:rPr>
          <w:rFonts w:ascii="標楷體" w:eastAsia="標楷體" w:hAnsi="標楷體" w:cs="Times New Roman"/>
          <w:sz w:val="28"/>
        </w:rPr>
        <w:t>(</w:t>
      </w:r>
      <w:r w:rsidR="00C1257A" w:rsidRPr="00AF1EFD">
        <w:rPr>
          <w:rFonts w:ascii="標楷體" w:eastAsia="標楷體" w:hAnsi="標楷體" w:cs="Times New Roman" w:hint="eastAsia"/>
          <w:sz w:val="28"/>
        </w:rPr>
        <w:t>草案</w:t>
      </w:r>
      <w:r w:rsidR="00C1257A" w:rsidRPr="00AF1EFD">
        <w:rPr>
          <w:rFonts w:ascii="標楷體" w:eastAsia="標楷體" w:hAnsi="標楷體" w:cs="Times New Roman"/>
          <w:sz w:val="28"/>
        </w:rPr>
        <w:t>第</w:t>
      </w:r>
      <w:r w:rsidR="00C1257A" w:rsidRPr="00AF1EFD">
        <w:rPr>
          <w:rFonts w:ascii="標楷體" w:eastAsia="標楷體" w:hAnsi="標楷體" w:cs="Times New Roman" w:hint="eastAsia"/>
          <w:sz w:val="28"/>
        </w:rPr>
        <w:t>三</w:t>
      </w:r>
      <w:r w:rsidRPr="00AF1EFD">
        <w:rPr>
          <w:rFonts w:ascii="標楷體" w:eastAsia="標楷體" w:hAnsi="標楷體" w:cs="Times New Roman" w:hint="eastAsia"/>
          <w:sz w:val="28"/>
        </w:rPr>
        <w:t>十一</w:t>
      </w:r>
      <w:r w:rsidR="00C1257A" w:rsidRPr="00AF1EFD">
        <w:rPr>
          <w:rFonts w:ascii="標楷體" w:eastAsia="標楷體" w:hAnsi="標楷體" w:cs="Times New Roman" w:hint="eastAsia"/>
          <w:sz w:val="28"/>
        </w:rPr>
        <w:t>條</w:t>
      </w:r>
      <w:r w:rsidR="00C1257A" w:rsidRPr="00AF1EFD">
        <w:rPr>
          <w:rFonts w:ascii="標楷體" w:eastAsia="標楷體" w:hAnsi="標楷體" w:cs="Times New Roman"/>
          <w:sz w:val="28"/>
        </w:rPr>
        <w:t>)</w:t>
      </w:r>
    </w:p>
    <w:p w:rsidR="00D4429F" w:rsidRPr="00AF1EFD" w:rsidRDefault="00D4429F" w:rsidP="00BC0602">
      <w:pPr>
        <w:pStyle w:val="a7"/>
        <w:numPr>
          <w:ilvl w:val="0"/>
          <w:numId w:val="5"/>
        </w:numPr>
        <w:spacing w:line="460" w:lineRule="exact"/>
        <w:ind w:leftChars="0"/>
        <w:jc w:val="both"/>
        <w:rPr>
          <w:rFonts w:ascii="標楷體" w:eastAsia="標楷體" w:hAnsi="標楷體" w:cs="Times New Roman"/>
          <w:sz w:val="28"/>
        </w:rPr>
      </w:pPr>
      <w:r w:rsidRPr="00AF1EFD">
        <w:rPr>
          <w:rFonts w:ascii="標楷體" w:eastAsia="標楷體" w:hAnsi="標楷體" w:cs="Times New Roman" w:hint="eastAsia"/>
          <w:sz w:val="28"/>
        </w:rPr>
        <w:t>醫事事故經中央主管機關認定為嚴重病人安全事件時，直轄市、縣（市）主管機關應立即成立專案調查小組，提出改善及防止錯誤之根本原因分析調查報告，並發布之。</w:t>
      </w:r>
      <w:r w:rsidRPr="00AF1EFD">
        <w:rPr>
          <w:rFonts w:ascii="標楷體" w:eastAsia="標楷體" w:hAnsi="標楷體" w:cs="Times New Roman"/>
          <w:sz w:val="28"/>
        </w:rPr>
        <w:t>(</w:t>
      </w:r>
      <w:r w:rsidRPr="00AF1EFD">
        <w:rPr>
          <w:rFonts w:ascii="標楷體" w:eastAsia="標楷體" w:hAnsi="標楷體" w:cs="Times New Roman" w:hint="eastAsia"/>
          <w:sz w:val="28"/>
        </w:rPr>
        <w:t>草案</w:t>
      </w:r>
      <w:r w:rsidRPr="00AF1EFD">
        <w:rPr>
          <w:rFonts w:ascii="標楷體" w:eastAsia="標楷體" w:hAnsi="標楷體" w:cs="Times New Roman"/>
          <w:sz w:val="28"/>
        </w:rPr>
        <w:t>第</w:t>
      </w:r>
      <w:r w:rsidRPr="00AF1EFD">
        <w:rPr>
          <w:rFonts w:ascii="標楷體" w:eastAsia="標楷體" w:hAnsi="標楷體" w:cs="Times New Roman" w:hint="eastAsia"/>
          <w:sz w:val="28"/>
        </w:rPr>
        <w:t>三十二條</w:t>
      </w:r>
      <w:r w:rsidRPr="00AF1EFD">
        <w:rPr>
          <w:rFonts w:ascii="標楷體" w:eastAsia="標楷體" w:hAnsi="標楷體" w:cs="Times New Roman"/>
          <w:sz w:val="28"/>
        </w:rPr>
        <w:t>)</w:t>
      </w:r>
    </w:p>
    <w:p w:rsidR="00C1257A" w:rsidRPr="00AF1EFD" w:rsidRDefault="00C1257A" w:rsidP="00BC0602">
      <w:pPr>
        <w:pStyle w:val="a7"/>
        <w:numPr>
          <w:ilvl w:val="0"/>
          <w:numId w:val="5"/>
        </w:numPr>
        <w:spacing w:line="460" w:lineRule="exact"/>
        <w:ind w:leftChars="0"/>
        <w:jc w:val="both"/>
        <w:rPr>
          <w:rFonts w:ascii="標楷體" w:eastAsia="標楷體" w:hAnsi="標楷體" w:cs="Times New Roman"/>
          <w:sz w:val="28"/>
        </w:rPr>
      </w:pPr>
      <w:r w:rsidRPr="00AF1EFD">
        <w:rPr>
          <w:rFonts w:ascii="標楷體" w:eastAsia="標楷體" w:hAnsi="標楷體" w:cs="Times New Roman" w:hint="eastAsia"/>
          <w:sz w:val="28"/>
        </w:rPr>
        <w:t>違反本法相關規定之罰則。</w:t>
      </w:r>
      <w:r w:rsidRPr="00AF1EFD">
        <w:rPr>
          <w:rFonts w:ascii="標楷體" w:eastAsia="標楷體" w:hAnsi="標楷體" w:cs="Times New Roman"/>
          <w:sz w:val="28"/>
        </w:rPr>
        <w:t>(</w:t>
      </w:r>
      <w:r w:rsidRPr="00AF1EFD">
        <w:rPr>
          <w:rFonts w:ascii="標楷體" w:eastAsia="標楷體" w:hAnsi="標楷體" w:cs="Times New Roman" w:hint="eastAsia"/>
          <w:sz w:val="28"/>
        </w:rPr>
        <w:t>草案</w:t>
      </w:r>
      <w:r w:rsidRPr="00AF1EFD">
        <w:rPr>
          <w:rFonts w:ascii="標楷體" w:eastAsia="標楷體" w:hAnsi="標楷體" w:cs="Times New Roman"/>
          <w:sz w:val="28"/>
        </w:rPr>
        <w:t>第</w:t>
      </w:r>
      <w:r w:rsidR="00D4429F" w:rsidRPr="00AF1EFD">
        <w:rPr>
          <w:rFonts w:ascii="標楷體" w:eastAsia="標楷體" w:hAnsi="標楷體" w:cs="Times New Roman"/>
          <w:sz w:val="28"/>
        </w:rPr>
        <w:t>三十三</w:t>
      </w:r>
      <w:r w:rsidRPr="00AF1EFD">
        <w:rPr>
          <w:rFonts w:ascii="標楷體" w:eastAsia="標楷體" w:hAnsi="標楷體" w:cs="Times New Roman"/>
          <w:sz w:val="28"/>
        </w:rPr>
        <w:t>條</w:t>
      </w:r>
      <w:r w:rsidRPr="00AF1EFD">
        <w:rPr>
          <w:rFonts w:ascii="標楷體" w:eastAsia="標楷體" w:hAnsi="標楷體" w:cs="Times New Roman" w:hint="eastAsia"/>
          <w:sz w:val="28"/>
        </w:rPr>
        <w:t>至第</w:t>
      </w:r>
      <w:r w:rsidR="00D4429F" w:rsidRPr="00AF1EFD">
        <w:rPr>
          <w:rFonts w:ascii="標楷體" w:eastAsia="標楷體" w:hAnsi="標楷體" w:cs="Times New Roman" w:hint="eastAsia"/>
          <w:sz w:val="28"/>
        </w:rPr>
        <w:t>三十九</w:t>
      </w:r>
      <w:r w:rsidRPr="00AF1EFD">
        <w:rPr>
          <w:rFonts w:ascii="標楷體" w:eastAsia="標楷體" w:hAnsi="標楷體" w:cs="Times New Roman" w:hint="eastAsia"/>
          <w:sz w:val="28"/>
        </w:rPr>
        <w:t>條</w:t>
      </w:r>
      <w:r w:rsidRPr="00AF1EFD">
        <w:rPr>
          <w:rFonts w:ascii="標楷體" w:eastAsia="標楷體" w:hAnsi="標楷體" w:cs="Times New Roman"/>
          <w:sz w:val="28"/>
        </w:rPr>
        <w:t>)</w:t>
      </w:r>
    </w:p>
    <w:p w:rsidR="00C1257A" w:rsidRPr="00AF1EFD" w:rsidRDefault="00C1257A" w:rsidP="00BC0602">
      <w:pPr>
        <w:pStyle w:val="a7"/>
        <w:numPr>
          <w:ilvl w:val="0"/>
          <w:numId w:val="5"/>
        </w:numPr>
        <w:spacing w:line="460" w:lineRule="exact"/>
        <w:ind w:leftChars="0"/>
        <w:jc w:val="both"/>
        <w:rPr>
          <w:rFonts w:ascii="標楷體" w:eastAsia="標楷體" w:hAnsi="標楷體" w:cs="Times New Roman"/>
          <w:sz w:val="28"/>
        </w:rPr>
      </w:pPr>
      <w:r w:rsidRPr="00AF1EFD">
        <w:rPr>
          <w:rFonts w:ascii="標楷體" w:eastAsia="標楷體" w:hAnsi="標楷體" w:cs="Times New Roman" w:hint="eastAsia"/>
          <w:sz w:val="28"/>
        </w:rPr>
        <w:t>本法施行日期。</w:t>
      </w:r>
      <w:r w:rsidRPr="00AF1EFD">
        <w:rPr>
          <w:rFonts w:ascii="標楷體" w:eastAsia="標楷體" w:hAnsi="標楷體" w:cs="Times New Roman"/>
          <w:sz w:val="28"/>
        </w:rPr>
        <w:t>(</w:t>
      </w:r>
      <w:r w:rsidRPr="00AF1EFD">
        <w:rPr>
          <w:rFonts w:ascii="標楷體" w:eastAsia="標楷體" w:hAnsi="標楷體" w:cs="Times New Roman" w:hint="eastAsia"/>
          <w:sz w:val="28"/>
        </w:rPr>
        <w:t>草案</w:t>
      </w:r>
      <w:r w:rsidRPr="00AF1EFD">
        <w:rPr>
          <w:rFonts w:ascii="標楷體" w:eastAsia="標楷體" w:hAnsi="標楷體" w:cs="Times New Roman"/>
          <w:sz w:val="28"/>
        </w:rPr>
        <w:t>第</w:t>
      </w:r>
      <w:r w:rsidR="00D4429F" w:rsidRPr="00AF1EFD">
        <w:rPr>
          <w:rFonts w:ascii="標楷體" w:eastAsia="標楷體" w:hAnsi="標楷體" w:cs="Times New Roman"/>
          <w:sz w:val="28"/>
        </w:rPr>
        <w:t>四十</w:t>
      </w:r>
      <w:r w:rsidRPr="00AF1EFD">
        <w:rPr>
          <w:rFonts w:ascii="標楷體" w:eastAsia="標楷體" w:hAnsi="標楷體" w:cs="Times New Roman"/>
          <w:sz w:val="28"/>
        </w:rPr>
        <w:t>條)</w:t>
      </w:r>
    </w:p>
    <w:p w:rsidR="00D4429F" w:rsidRPr="00AF1EFD" w:rsidRDefault="00D4429F">
      <w:pPr>
        <w:widowControl/>
        <w:rPr>
          <w:rFonts w:ascii="標楷體" w:eastAsia="標楷體" w:hAnsi="標楷體"/>
          <w:b/>
          <w:sz w:val="44"/>
          <w:szCs w:val="44"/>
        </w:rPr>
      </w:pPr>
      <w:r w:rsidRPr="00AF1EFD">
        <w:rPr>
          <w:rFonts w:ascii="標楷體" w:eastAsia="標楷體" w:hAnsi="標楷體"/>
          <w:b/>
          <w:sz w:val="44"/>
          <w:szCs w:val="44"/>
        </w:rPr>
        <w:br w:type="page"/>
      </w:r>
    </w:p>
    <w:p w:rsidR="003527D7" w:rsidRPr="00AF1EFD" w:rsidRDefault="009C0009" w:rsidP="00FB0B3A">
      <w:pPr>
        <w:spacing w:beforeLines="50" w:before="180" w:afterLines="50" w:after="180"/>
        <w:jc w:val="center"/>
        <w:rPr>
          <w:rFonts w:ascii="標楷體" w:eastAsia="標楷體" w:hAnsi="標楷體"/>
          <w:sz w:val="44"/>
          <w:szCs w:val="44"/>
        </w:rPr>
      </w:pPr>
      <w:r w:rsidRPr="00AF1EFD">
        <w:rPr>
          <w:rFonts w:ascii="標楷體" w:eastAsia="標楷體" w:hAnsi="標楷體"/>
          <w:sz w:val="44"/>
          <w:szCs w:val="44"/>
        </w:rPr>
        <w:lastRenderedPageBreak/>
        <w:t>醫</w:t>
      </w:r>
      <w:r w:rsidR="00610007" w:rsidRPr="00AF1EFD">
        <w:rPr>
          <w:rFonts w:ascii="標楷體" w:eastAsia="標楷體" w:hAnsi="標楷體" w:hint="eastAsia"/>
          <w:sz w:val="44"/>
          <w:szCs w:val="44"/>
        </w:rPr>
        <w:t>事</w:t>
      </w:r>
      <w:r w:rsidRPr="00AF1EFD">
        <w:rPr>
          <w:rFonts w:ascii="標楷體" w:eastAsia="標楷體" w:hAnsi="標楷體"/>
          <w:sz w:val="44"/>
          <w:szCs w:val="44"/>
        </w:rPr>
        <w:t>爭議處理法草案</w:t>
      </w:r>
    </w:p>
    <w:tbl>
      <w:tblPr>
        <w:tblpPr w:leftFromText="181" w:rightFromText="18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AF1EFD" w:rsidRPr="00AF1EFD" w:rsidTr="00536DD7">
        <w:tc>
          <w:tcPr>
            <w:tcW w:w="4501" w:type="dxa"/>
            <w:tcBorders>
              <w:top w:val="single" w:sz="12" w:space="0" w:color="auto"/>
              <w:left w:val="single" w:sz="12" w:space="0" w:color="auto"/>
              <w:bottom w:val="single" w:sz="12" w:space="0" w:color="auto"/>
              <w:right w:val="single" w:sz="12" w:space="0" w:color="auto"/>
            </w:tcBorders>
          </w:tcPr>
          <w:p w:rsidR="00E92EB5" w:rsidRPr="00AF1EFD" w:rsidRDefault="00536DD7" w:rsidP="00E92EB5">
            <w:pPr>
              <w:snapToGrid w:val="0"/>
              <w:spacing w:beforeLines="50" w:before="180" w:afterLines="50" w:after="180" w:line="240" w:lineRule="atLeast"/>
              <w:jc w:val="center"/>
              <w:rPr>
                <w:rFonts w:ascii="標楷體" w:eastAsia="標楷體" w:hAnsi="標楷體"/>
                <w:b/>
                <w:sz w:val="28"/>
                <w:szCs w:val="28"/>
              </w:rPr>
            </w:pPr>
            <w:r w:rsidRPr="00AF1EFD">
              <w:rPr>
                <w:rFonts w:ascii="標楷體" w:eastAsia="標楷體" w:hAnsi="標楷體"/>
                <w:b/>
                <w:sz w:val="28"/>
                <w:szCs w:val="28"/>
              </w:rPr>
              <w:t>條  文</w:t>
            </w:r>
          </w:p>
        </w:tc>
        <w:tc>
          <w:tcPr>
            <w:tcW w:w="4502" w:type="dxa"/>
            <w:tcBorders>
              <w:top w:val="single" w:sz="12" w:space="0" w:color="auto"/>
              <w:left w:val="single" w:sz="12" w:space="0" w:color="auto"/>
              <w:bottom w:val="single" w:sz="12" w:space="0" w:color="auto"/>
              <w:right w:val="single" w:sz="12" w:space="0" w:color="auto"/>
            </w:tcBorders>
          </w:tcPr>
          <w:p w:rsidR="00E92EB5" w:rsidRPr="00AF1EFD" w:rsidRDefault="00536DD7" w:rsidP="00E92EB5">
            <w:pPr>
              <w:snapToGrid w:val="0"/>
              <w:spacing w:beforeLines="50" w:before="180" w:afterLines="50" w:after="180" w:line="240" w:lineRule="atLeast"/>
              <w:jc w:val="center"/>
              <w:rPr>
                <w:rFonts w:ascii="標楷體" w:eastAsia="標楷體" w:hAnsi="標楷體"/>
                <w:b/>
                <w:sz w:val="28"/>
                <w:szCs w:val="28"/>
              </w:rPr>
            </w:pPr>
            <w:r w:rsidRPr="00AF1EFD">
              <w:rPr>
                <w:rFonts w:ascii="標楷體" w:eastAsia="標楷體" w:hAnsi="標楷體"/>
                <w:b/>
                <w:sz w:val="28"/>
                <w:szCs w:val="28"/>
              </w:rPr>
              <w:t>說  明</w:t>
            </w:r>
          </w:p>
        </w:tc>
      </w:tr>
      <w:tr w:rsidR="00AF1EFD" w:rsidRPr="00AF1EFD" w:rsidTr="00536DD7">
        <w:tc>
          <w:tcPr>
            <w:tcW w:w="4501" w:type="dxa"/>
            <w:tcBorders>
              <w:top w:val="single" w:sz="12" w:space="0" w:color="auto"/>
              <w:left w:val="single" w:sz="12" w:space="0" w:color="auto"/>
              <w:bottom w:val="single" w:sz="12" w:space="0" w:color="auto"/>
              <w:right w:val="single" w:sz="12" w:space="0" w:color="auto"/>
            </w:tcBorders>
          </w:tcPr>
          <w:p w:rsidR="00E92EB5" w:rsidRPr="00AF1EFD" w:rsidRDefault="00E92EB5" w:rsidP="00E92EB5">
            <w:pPr>
              <w:snapToGrid w:val="0"/>
              <w:spacing w:beforeLines="50" w:before="180" w:afterLines="50" w:after="180" w:line="240" w:lineRule="atLeast"/>
              <w:jc w:val="center"/>
              <w:rPr>
                <w:rFonts w:ascii="標楷體" w:eastAsia="標楷體" w:hAnsi="標楷體"/>
                <w:b/>
                <w:sz w:val="28"/>
                <w:szCs w:val="28"/>
              </w:rPr>
            </w:pPr>
            <w:r w:rsidRPr="00AF1EFD">
              <w:rPr>
                <w:rFonts w:ascii="標楷體" w:eastAsia="標楷體" w:hAnsi="標楷體" w:hint="eastAsia"/>
                <w:b/>
                <w:sz w:val="28"/>
                <w:szCs w:val="28"/>
              </w:rPr>
              <w:t>第一章  總　 則</w:t>
            </w:r>
          </w:p>
        </w:tc>
        <w:tc>
          <w:tcPr>
            <w:tcW w:w="4502" w:type="dxa"/>
            <w:tcBorders>
              <w:top w:val="single" w:sz="12" w:space="0" w:color="auto"/>
              <w:left w:val="single" w:sz="12" w:space="0" w:color="auto"/>
              <w:bottom w:val="single" w:sz="12" w:space="0" w:color="auto"/>
              <w:right w:val="single" w:sz="12" w:space="0" w:color="auto"/>
            </w:tcBorders>
          </w:tcPr>
          <w:p w:rsidR="00E92EB5" w:rsidRPr="00AF1EFD" w:rsidRDefault="00536DD7" w:rsidP="00E92EB5">
            <w:pPr>
              <w:snapToGrid w:val="0"/>
              <w:spacing w:beforeLines="50" w:before="180" w:afterLines="50" w:after="180" w:line="240" w:lineRule="atLeast"/>
              <w:jc w:val="center"/>
              <w:rPr>
                <w:rFonts w:ascii="標楷體" w:eastAsia="標楷體" w:hAnsi="標楷體"/>
                <w:b/>
                <w:sz w:val="28"/>
                <w:szCs w:val="28"/>
              </w:rPr>
            </w:pPr>
            <w:r w:rsidRPr="00AF1EFD">
              <w:rPr>
                <w:rFonts w:ascii="標楷體" w:eastAsia="標楷體" w:hAnsi="標楷體"/>
                <w:b/>
                <w:sz w:val="28"/>
                <w:szCs w:val="28"/>
              </w:rPr>
              <w:t>章  名</w:t>
            </w:r>
          </w:p>
        </w:tc>
      </w:tr>
      <w:tr w:rsidR="00AF1EFD" w:rsidRPr="00AF1EFD" w:rsidTr="00536DD7">
        <w:tc>
          <w:tcPr>
            <w:tcW w:w="4501" w:type="dxa"/>
            <w:tcBorders>
              <w:top w:val="single" w:sz="12" w:space="0" w:color="auto"/>
            </w:tcBorders>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第一條  為保障病人就醫權益，增進醫病關係和諧，妥適處理醫事爭議，加強維護病人安全，改善醫療執業環境，特制定本法。</w:t>
            </w:r>
          </w:p>
        </w:tc>
        <w:tc>
          <w:tcPr>
            <w:tcW w:w="4502" w:type="dxa"/>
            <w:tcBorders>
              <w:top w:val="single" w:sz="12" w:space="0" w:color="auto"/>
            </w:tcBorders>
          </w:tcPr>
          <w:p w:rsidR="00E92EB5" w:rsidRPr="00AF1EFD" w:rsidRDefault="00536DD7"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明定本法之立法目的。</w:t>
            </w:r>
          </w:p>
        </w:tc>
      </w:tr>
      <w:tr w:rsidR="00AF1EFD" w:rsidRPr="00AF1EFD" w:rsidTr="00536DD7">
        <w:tc>
          <w:tcPr>
            <w:tcW w:w="4501" w:type="dxa"/>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第二條  本法所稱主管機關：在中央為衛生福利部；在直轄市為直轄市政府；在縣（市）為縣（市）政府。</w:t>
            </w:r>
          </w:p>
        </w:tc>
        <w:tc>
          <w:tcPr>
            <w:tcW w:w="4502" w:type="dxa"/>
          </w:tcPr>
          <w:p w:rsidR="00E92EB5" w:rsidRPr="00AF1EFD" w:rsidRDefault="00536DD7" w:rsidP="00536DD7">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明定本法主管機關，中央主管機關為衛生福利部；地方主管機關為直轄市政府或縣（市）政府。</w:t>
            </w:r>
          </w:p>
        </w:tc>
      </w:tr>
      <w:tr w:rsidR="00AF1EFD" w:rsidRPr="00AF1EFD" w:rsidTr="00536DD7">
        <w:tc>
          <w:tcPr>
            <w:tcW w:w="4501" w:type="dxa"/>
            <w:tcBorders>
              <w:bottom w:val="single" w:sz="12" w:space="0" w:color="auto"/>
            </w:tcBorders>
          </w:tcPr>
          <w:p w:rsidR="00E92EB5" w:rsidRPr="00AF1EFD" w:rsidRDefault="00E92EB5" w:rsidP="00E92EB5">
            <w:pPr>
              <w:snapToGrid w:val="0"/>
              <w:spacing w:beforeLines="50" w:before="180" w:afterLines="50" w:after="180" w:line="240" w:lineRule="atLeast"/>
              <w:jc w:val="both"/>
              <w:rPr>
                <w:rFonts w:ascii="標楷體" w:eastAsia="標楷體" w:hAnsi="標楷體"/>
                <w:sz w:val="28"/>
                <w:szCs w:val="28"/>
              </w:rPr>
            </w:pPr>
            <w:r w:rsidRPr="00AF1EFD">
              <w:rPr>
                <w:rFonts w:ascii="標楷體" w:eastAsia="標楷體" w:hAnsi="標楷體" w:hint="eastAsia"/>
                <w:sz w:val="28"/>
                <w:szCs w:val="28"/>
              </w:rPr>
              <w:t>第三條  本法用詞，定義如下：</w:t>
            </w:r>
          </w:p>
          <w:p w:rsidR="00E92EB5" w:rsidRPr="00AF1EFD" w:rsidRDefault="00E92EB5" w:rsidP="00BC0602">
            <w:pPr>
              <w:pStyle w:val="a7"/>
              <w:numPr>
                <w:ilvl w:val="0"/>
                <w:numId w:val="1"/>
              </w:numPr>
              <w:kinsoku w:val="0"/>
              <w:overflowPunct w:val="0"/>
              <w:autoSpaceDE w:val="0"/>
              <w:snapToGrid w:val="0"/>
              <w:spacing w:beforeLines="50" w:before="180" w:afterLines="50" w:after="180" w:line="240" w:lineRule="atLeast"/>
              <w:ind w:leftChars="0" w:left="567" w:hanging="567"/>
              <w:jc w:val="both"/>
              <w:textAlignment w:val="center"/>
              <w:rPr>
                <w:rFonts w:ascii="標楷體" w:eastAsia="標楷體" w:hAnsi="標楷體"/>
                <w:sz w:val="28"/>
                <w:szCs w:val="28"/>
              </w:rPr>
            </w:pPr>
            <w:r w:rsidRPr="00AF1EFD">
              <w:rPr>
                <w:rFonts w:ascii="標楷體" w:eastAsia="標楷體" w:hAnsi="標楷體" w:hint="eastAsia"/>
                <w:sz w:val="28"/>
                <w:szCs w:val="28"/>
              </w:rPr>
              <w:t>醫事爭議：指醫事人員或醫療機構與病人間因執行業務所生之爭議。</w:t>
            </w:r>
          </w:p>
          <w:p w:rsidR="00E92EB5" w:rsidRPr="00AF1EFD" w:rsidRDefault="00E92EB5" w:rsidP="00BC0602">
            <w:pPr>
              <w:pStyle w:val="a7"/>
              <w:numPr>
                <w:ilvl w:val="0"/>
                <w:numId w:val="1"/>
              </w:numPr>
              <w:kinsoku w:val="0"/>
              <w:overflowPunct w:val="0"/>
              <w:autoSpaceDE w:val="0"/>
              <w:snapToGrid w:val="0"/>
              <w:spacing w:beforeLines="50" w:before="180" w:afterLines="50" w:after="180" w:line="240" w:lineRule="atLeast"/>
              <w:ind w:leftChars="0" w:left="567" w:hanging="567"/>
              <w:jc w:val="both"/>
              <w:textAlignment w:val="center"/>
              <w:rPr>
                <w:rFonts w:ascii="標楷體" w:eastAsia="標楷體" w:hAnsi="標楷體"/>
                <w:sz w:val="28"/>
                <w:szCs w:val="28"/>
              </w:rPr>
            </w:pPr>
            <w:r w:rsidRPr="00AF1EFD">
              <w:rPr>
                <w:rFonts w:ascii="標楷體" w:eastAsia="標楷體" w:hAnsi="標楷體" w:hint="eastAsia"/>
                <w:sz w:val="28"/>
                <w:szCs w:val="28"/>
              </w:rPr>
              <w:t>醫事事故：指病人因接受醫事行為而發生傷殘或死亡結果之事故。</w:t>
            </w:r>
          </w:p>
          <w:p w:rsidR="00E92EB5" w:rsidRPr="00AF1EFD" w:rsidRDefault="00E92EB5" w:rsidP="00BC0602">
            <w:pPr>
              <w:pStyle w:val="a7"/>
              <w:numPr>
                <w:ilvl w:val="0"/>
                <w:numId w:val="1"/>
              </w:numPr>
              <w:kinsoku w:val="0"/>
              <w:overflowPunct w:val="0"/>
              <w:autoSpaceDE w:val="0"/>
              <w:snapToGrid w:val="0"/>
              <w:spacing w:beforeLines="50" w:before="180" w:afterLines="50" w:after="180" w:line="240" w:lineRule="atLeast"/>
              <w:ind w:leftChars="0" w:left="567" w:hanging="567"/>
              <w:jc w:val="both"/>
              <w:textAlignment w:val="center"/>
              <w:rPr>
                <w:rFonts w:ascii="標楷體" w:eastAsia="標楷體" w:hAnsi="標楷體"/>
                <w:sz w:val="28"/>
                <w:szCs w:val="28"/>
              </w:rPr>
            </w:pPr>
            <w:r w:rsidRPr="00AF1EFD">
              <w:rPr>
                <w:rFonts w:ascii="標楷體" w:eastAsia="標楷體" w:hAnsi="標楷體" w:hint="eastAsia"/>
                <w:sz w:val="28"/>
                <w:szCs w:val="28"/>
              </w:rPr>
              <w:t>當事人：指與醫</w:t>
            </w:r>
            <w:r w:rsidR="00C56498">
              <w:rPr>
                <w:rFonts w:ascii="標楷體" w:eastAsia="標楷體" w:hAnsi="標楷體" w:hint="eastAsia"/>
                <w:sz w:val="28"/>
                <w:szCs w:val="28"/>
              </w:rPr>
              <w:t>事</w:t>
            </w:r>
            <w:r w:rsidRPr="00AF1EFD">
              <w:rPr>
                <w:rFonts w:ascii="標楷體" w:eastAsia="標楷體" w:hAnsi="標楷體" w:hint="eastAsia"/>
                <w:sz w:val="28"/>
                <w:szCs w:val="28"/>
              </w:rPr>
              <w:t>爭議有關之醫事人員、醫療機構、病人或其他依法得提起訴訟之人。</w:t>
            </w:r>
          </w:p>
        </w:tc>
        <w:tc>
          <w:tcPr>
            <w:tcW w:w="4502" w:type="dxa"/>
            <w:tcBorders>
              <w:bottom w:val="single" w:sz="12" w:space="0" w:color="auto"/>
            </w:tcBorders>
          </w:tcPr>
          <w:p w:rsidR="00536DD7" w:rsidRPr="00AF1EFD" w:rsidRDefault="00536DD7" w:rsidP="00BC0602">
            <w:pPr>
              <w:pStyle w:val="a7"/>
              <w:numPr>
                <w:ilvl w:val="0"/>
                <w:numId w:val="7"/>
              </w:numPr>
              <w:kinsoku w:val="0"/>
              <w:overflowPunct w:val="0"/>
              <w:autoSpaceDE w:val="0"/>
              <w:snapToGrid w:val="0"/>
              <w:spacing w:beforeLines="50" w:before="180" w:afterLines="50" w:after="180" w:line="240" w:lineRule="atLeast"/>
              <w:ind w:leftChars="0" w:left="567" w:hanging="567"/>
              <w:jc w:val="both"/>
              <w:textAlignment w:val="center"/>
              <w:rPr>
                <w:rFonts w:ascii="標楷體" w:eastAsia="標楷體" w:hAnsi="標楷體"/>
                <w:sz w:val="28"/>
                <w:szCs w:val="28"/>
              </w:rPr>
            </w:pPr>
            <w:r w:rsidRPr="00AF1EFD">
              <w:rPr>
                <w:rFonts w:ascii="標楷體" w:eastAsia="標楷體" w:hAnsi="標楷體" w:hint="eastAsia"/>
                <w:sz w:val="28"/>
                <w:szCs w:val="28"/>
              </w:rPr>
              <w:t>明定本法之名詞定義。</w:t>
            </w:r>
          </w:p>
          <w:p w:rsidR="00536DD7" w:rsidRPr="00AF1EFD" w:rsidRDefault="00536DD7" w:rsidP="00BC0602">
            <w:pPr>
              <w:pStyle w:val="a7"/>
              <w:numPr>
                <w:ilvl w:val="0"/>
                <w:numId w:val="7"/>
              </w:numPr>
              <w:kinsoku w:val="0"/>
              <w:overflowPunct w:val="0"/>
              <w:autoSpaceDE w:val="0"/>
              <w:snapToGrid w:val="0"/>
              <w:spacing w:beforeLines="50" w:before="180" w:afterLines="50" w:after="180" w:line="240" w:lineRule="atLeast"/>
              <w:ind w:leftChars="0" w:left="567" w:hanging="567"/>
              <w:jc w:val="both"/>
              <w:textAlignment w:val="center"/>
              <w:rPr>
                <w:rFonts w:ascii="標楷體" w:eastAsia="標楷體" w:hAnsi="標楷體"/>
                <w:sz w:val="28"/>
                <w:szCs w:val="28"/>
              </w:rPr>
            </w:pPr>
            <w:r w:rsidRPr="00AF1EFD">
              <w:rPr>
                <w:rFonts w:ascii="標楷體" w:eastAsia="標楷體" w:hAnsi="標楷體" w:hint="eastAsia"/>
                <w:sz w:val="28"/>
                <w:szCs w:val="28"/>
              </w:rPr>
              <w:t>第一款明定醫事爭議之定義，說明如下：</w:t>
            </w:r>
          </w:p>
          <w:p w:rsidR="00536DD7" w:rsidRPr="00AF1EFD" w:rsidRDefault="00536DD7" w:rsidP="00BC0602">
            <w:pPr>
              <w:pStyle w:val="a7"/>
              <w:numPr>
                <w:ilvl w:val="1"/>
                <w:numId w:val="6"/>
              </w:numPr>
              <w:snapToGrid w:val="0"/>
              <w:spacing w:beforeLines="50" w:before="180" w:afterLines="50" w:after="180" w:line="240" w:lineRule="atLeast"/>
              <w:ind w:leftChars="0" w:left="744" w:hanging="850"/>
              <w:jc w:val="both"/>
              <w:rPr>
                <w:rFonts w:ascii="標楷體" w:eastAsia="標楷體" w:hAnsi="標楷體"/>
                <w:sz w:val="28"/>
                <w:szCs w:val="28"/>
              </w:rPr>
            </w:pPr>
            <w:r w:rsidRPr="00AF1EFD">
              <w:rPr>
                <w:rFonts w:ascii="標楷體" w:eastAsia="標楷體" w:hAnsi="標楷體" w:hint="eastAsia"/>
                <w:sz w:val="28"/>
                <w:szCs w:val="28"/>
              </w:rPr>
              <w:t>本法立法目的以保障病人權益為核心，本法第二章及第三章亦明定多項促進病人權益之措施，如病歷證據保全等，故本法旨在處理病人對於醫事人員或醫療機構之醫療專業領域之爭議，至病人如單純就有關醫療費用收取或醫療態度等爭執，非屬本法之醫</w:t>
            </w:r>
            <w:r w:rsidR="00C56498">
              <w:rPr>
                <w:rFonts w:ascii="標楷體" w:eastAsia="標楷體" w:hAnsi="標楷體" w:hint="eastAsia"/>
                <w:sz w:val="28"/>
                <w:szCs w:val="28"/>
              </w:rPr>
              <w:t>事</w:t>
            </w:r>
            <w:r w:rsidRPr="00AF1EFD">
              <w:rPr>
                <w:rFonts w:ascii="標楷體" w:eastAsia="標楷體" w:hAnsi="標楷體" w:hint="eastAsia"/>
                <w:sz w:val="28"/>
                <w:szCs w:val="28"/>
              </w:rPr>
              <w:t>爭議。</w:t>
            </w:r>
          </w:p>
          <w:p w:rsidR="00536DD7" w:rsidRPr="00AF1EFD" w:rsidRDefault="00536DD7" w:rsidP="00BC0602">
            <w:pPr>
              <w:pStyle w:val="a7"/>
              <w:numPr>
                <w:ilvl w:val="1"/>
                <w:numId w:val="6"/>
              </w:numPr>
              <w:snapToGrid w:val="0"/>
              <w:spacing w:beforeLines="50" w:before="180" w:afterLines="50" w:after="180" w:line="240" w:lineRule="atLeast"/>
              <w:ind w:leftChars="0" w:left="744" w:hanging="850"/>
              <w:jc w:val="both"/>
              <w:rPr>
                <w:rFonts w:ascii="標楷體" w:eastAsia="標楷體" w:hAnsi="標楷體"/>
                <w:sz w:val="28"/>
                <w:szCs w:val="28"/>
              </w:rPr>
            </w:pPr>
            <w:r w:rsidRPr="00AF1EFD">
              <w:rPr>
                <w:rFonts w:ascii="標楷體" w:eastAsia="標楷體" w:hAnsi="標楷體" w:hint="eastAsia"/>
                <w:sz w:val="28"/>
                <w:szCs w:val="28"/>
              </w:rPr>
              <w:t>醫療專業領域糾紛，除常見關於醫療行為與傷害、身心障礙或死亡結果等責任歸屬之爭議，實務</w:t>
            </w:r>
            <w:r w:rsidR="00866652" w:rsidRPr="00AF1EFD">
              <w:rPr>
                <w:rFonts w:ascii="標楷體" w:eastAsia="標楷體" w:hAnsi="標楷體" w:hint="eastAsia"/>
                <w:sz w:val="28"/>
                <w:szCs w:val="28"/>
              </w:rPr>
              <w:t>上</w:t>
            </w:r>
            <w:r w:rsidRPr="00AF1EFD">
              <w:rPr>
                <w:rFonts w:ascii="標楷體" w:eastAsia="標楷體" w:hAnsi="標楷體" w:hint="eastAsia"/>
                <w:sz w:val="28"/>
                <w:szCs w:val="28"/>
              </w:rPr>
              <w:t>亦有醫療結果不如病人預期等爭執，爰以</w:t>
            </w:r>
            <w:r w:rsidR="00866652" w:rsidRPr="00AF1EFD">
              <w:rPr>
                <w:rFonts w:ascii="標楷體" w:eastAsia="標楷體" w:hAnsi="標楷體" w:hint="eastAsia"/>
                <w:sz w:val="28"/>
                <w:szCs w:val="28"/>
              </w:rPr>
              <w:t>執行業務所生爭議</w:t>
            </w:r>
            <w:r w:rsidRPr="00AF1EFD">
              <w:rPr>
                <w:rFonts w:ascii="標楷體" w:eastAsia="標楷體" w:hAnsi="標楷體" w:hint="eastAsia"/>
                <w:sz w:val="28"/>
                <w:szCs w:val="28"/>
              </w:rPr>
              <w:t>總稱之。</w:t>
            </w:r>
          </w:p>
          <w:p w:rsidR="00E92EB5" w:rsidRPr="00AF1EFD" w:rsidRDefault="00974DAA" w:rsidP="00BC0602">
            <w:pPr>
              <w:pStyle w:val="a7"/>
              <w:numPr>
                <w:ilvl w:val="0"/>
                <w:numId w:val="7"/>
              </w:numPr>
              <w:kinsoku w:val="0"/>
              <w:overflowPunct w:val="0"/>
              <w:autoSpaceDE w:val="0"/>
              <w:snapToGrid w:val="0"/>
              <w:spacing w:beforeLines="50" w:before="180" w:afterLines="50" w:after="180" w:line="240" w:lineRule="atLeast"/>
              <w:ind w:leftChars="0" w:left="567" w:hanging="567"/>
              <w:jc w:val="both"/>
              <w:textAlignment w:val="center"/>
              <w:rPr>
                <w:rFonts w:ascii="標楷體" w:eastAsia="標楷體" w:hAnsi="標楷體"/>
                <w:sz w:val="28"/>
                <w:szCs w:val="28"/>
              </w:rPr>
            </w:pPr>
            <w:r w:rsidRPr="00AF1EFD">
              <w:rPr>
                <w:rFonts w:ascii="標楷體" w:eastAsia="標楷體" w:hAnsi="標楷體" w:hint="eastAsia"/>
                <w:sz w:val="28"/>
                <w:szCs w:val="28"/>
              </w:rPr>
              <w:lastRenderedPageBreak/>
              <w:t>為預防及降低醫事事故風險，</w:t>
            </w:r>
            <w:r w:rsidR="00B93D4D" w:rsidRPr="00AF1EFD">
              <w:rPr>
                <w:rFonts w:ascii="標楷體" w:eastAsia="標楷體" w:hAnsi="標楷體" w:hint="eastAsia"/>
                <w:sz w:val="28"/>
                <w:szCs w:val="28"/>
              </w:rPr>
              <w:t>病人因接受醫事行為而發生傷殘或死亡結果</w:t>
            </w:r>
            <w:r w:rsidRPr="00AF1EFD">
              <w:rPr>
                <w:rFonts w:ascii="標楷體" w:eastAsia="標楷體" w:hAnsi="標楷體" w:hint="eastAsia"/>
                <w:sz w:val="28"/>
                <w:szCs w:val="28"/>
              </w:rPr>
              <w:t>時</w:t>
            </w:r>
            <w:r w:rsidR="00B93D4D" w:rsidRPr="00AF1EFD">
              <w:rPr>
                <w:rFonts w:ascii="標楷體" w:eastAsia="標楷體" w:hAnsi="標楷體" w:hint="eastAsia"/>
                <w:sz w:val="28"/>
                <w:szCs w:val="28"/>
              </w:rPr>
              <w:t>，</w:t>
            </w:r>
            <w:r w:rsidR="00866652" w:rsidRPr="00AF1EFD">
              <w:rPr>
                <w:rFonts w:ascii="標楷體" w:eastAsia="標楷體" w:hAnsi="標楷體" w:hint="eastAsia"/>
                <w:sz w:val="28"/>
                <w:szCs w:val="28"/>
              </w:rPr>
              <w:t>為防免</w:t>
            </w:r>
            <w:r w:rsidR="00B93D4D" w:rsidRPr="00AF1EFD">
              <w:rPr>
                <w:rFonts w:ascii="標楷體" w:eastAsia="標楷體" w:hAnsi="標楷體" w:hint="eastAsia"/>
                <w:sz w:val="28"/>
                <w:szCs w:val="28"/>
              </w:rPr>
              <w:t>未來</w:t>
            </w:r>
            <w:r w:rsidR="00866652" w:rsidRPr="00AF1EFD">
              <w:rPr>
                <w:rFonts w:ascii="標楷體" w:eastAsia="標楷體" w:hAnsi="標楷體" w:hint="eastAsia"/>
                <w:sz w:val="28"/>
                <w:szCs w:val="28"/>
              </w:rPr>
              <w:t>醫療行為</w:t>
            </w:r>
            <w:r w:rsidR="00B93D4D" w:rsidRPr="00AF1EFD">
              <w:rPr>
                <w:rFonts w:ascii="標楷體" w:eastAsia="標楷體" w:hAnsi="標楷體" w:hint="eastAsia"/>
                <w:sz w:val="28"/>
                <w:szCs w:val="28"/>
              </w:rPr>
              <w:t>造成類似結果</w:t>
            </w:r>
            <w:r w:rsidR="00866652" w:rsidRPr="00AF1EFD">
              <w:rPr>
                <w:rFonts w:ascii="標楷體" w:eastAsia="標楷體" w:hAnsi="標楷體" w:hint="eastAsia"/>
                <w:sz w:val="28"/>
                <w:szCs w:val="28"/>
              </w:rPr>
              <w:t>，</w:t>
            </w:r>
            <w:r w:rsidRPr="00AF1EFD">
              <w:rPr>
                <w:rFonts w:ascii="標楷體" w:eastAsia="標楷體" w:hAnsi="標楷體" w:hint="eastAsia"/>
                <w:sz w:val="28"/>
                <w:szCs w:val="28"/>
              </w:rPr>
              <w:t>爰</w:t>
            </w:r>
            <w:r w:rsidR="00B93D4D" w:rsidRPr="00AF1EFD">
              <w:rPr>
                <w:rFonts w:ascii="標楷體" w:eastAsia="標楷體" w:hAnsi="標楷體" w:hint="eastAsia"/>
                <w:sz w:val="28"/>
                <w:szCs w:val="28"/>
              </w:rPr>
              <w:t>結合</w:t>
            </w:r>
            <w:r w:rsidRPr="00AF1EFD">
              <w:rPr>
                <w:rFonts w:ascii="標楷體" w:eastAsia="標楷體" w:hAnsi="標楷體" w:hint="eastAsia"/>
                <w:sz w:val="28"/>
                <w:szCs w:val="28"/>
              </w:rPr>
              <w:t>第四章</w:t>
            </w:r>
            <w:r w:rsidR="00B93D4D" w:rsidRPr="00AF1EFD">
              <w:rPr>
                <w:rFonts w:ascii="標楷體" w:eastAsia="標楷體" w:hAnsi="標楷體" w:hint="eastAsia"/>
                <w:sz w:val="28"/>
                <w:szCs w:val="28"/>
              </w:rPr>
              <w:t>不究責之除錯機制，</w:t>
            </w:r>
            <w:r w:rsidRPr="00AF1EFD">
              <w:rPr>
                <w:rFonts w:ascii="標楷體" w:eastAsia="標楷體" w:hAnsi="標楷體" w:hint="eastAsia"/>
                <w:sz w:val="28"/>
                <w:szCs w:val="28"/>
              </w:rPr>
              <w:t>定義醫事</w:t>
            </w:r>
            <w:r w:rsidR="00866652" w:rsidRPr="00AF1EFD">
              <w:rPr>
                <w:rFonts w:ascii="標楷體" w:eastAsia="標楷體" w:hAnsi="標楷體" w:hint="eastAsia"/>
                <w:sz w:val="28"/>
                <w:szCs w:val="28"/>
              </w:rPr>
              <w:t>事故。另</w:t>
            </w:r>
            <w:r w:rsidRPr="00AF1EFD">
              <w:rPr>
                <w:rFonts w:ascii="標楷體" w:eastAsia="標楷體" w:hAnsi="標楷體" w:hint="eastAsia"/>
                <w:sz w:val="28"/>
                <w:szCs w:val="28"/>
              </w:rPr>
              <w:t>醫療行為造成傷殘或死亡結果時</w:t>
            </w:r>
            <w:r w:rsidR="00866652" w:rsidRPr="00AF1EFD">
              <w:rPr>
                <w:rFonts w:ascii="標楷體" w:eastAsia="標楷體" w:hAnsi="標楷體" w:hint="eastAsia"/>
                <w:sz w:val="28"/>
                <w:szCs w:val="28"/>
              </w:rPr>
              <w:t>，如係自然死或非醫療行為所引起者，</w:t>
            </w:r>
            <w:r w:rsidRPr="00AF1EFD">
              <w:rPr>
                <w:rFonts w:ascii="標楷體" w:eastAsia="標楷體" w:hAnsi="標楷體" w:hint="eastAsia"/>
                <w:sz w:val="28"/>
                <w:szCs w:val="28"/>
              </w:rPr>
              <w:t>則</w:t>
            </w:r>
            <w:r w:rsidR="00866652" w:rsidRPr="00AF1EFD">
              <w:rPr>
                <w:rFonts w:ascii="標楷體" w:eastAsia="標楷體" w:hAnsi="標楷體" w:hint="eastAsia"/>
                <w:sz w:val="28"/>
                <w:szCs w:val="28"/>
              </w:rPr>
              <w:t>與醫療行為無關，非本法所稱醫</w:t>
            </w:r>
            <w:r w:rsidRPr="00AF1EFD">
              <w:rPr>
                <w:rFonts w:ascii="標楷體" w:eastAsia="標楷體" w:hAnsi="標楷體" w:hint="eastAsia"/>
                <w:sz w:val="28"/>
                <w:szCs w:val="28"/>
              </w:rPr>
              <w:t>事</w:t>
            </w:r>
            <w:r w:rsidR="00866652" w:rsidRPr="00AF1EFD">
              <w:rPr>
                <w:rFonts w:ascii="標楷體" w:eastAsia="標楷體" w:hAnsi="標楷體" w:hint="eastAsia"/>
                <w:sz w:val="28"/>
                <w:szCs w:val="28"/>
              </w:rPr>
              <w:t>事故，亦不屬於本法所定</w:t>
            </w:r>
            <w:r w:rsidRPr="00AF1EFD">
              <w:rPr>
                <w:rFonts w:ascii="標楷體" w:eastAsia="標楷體" w:hAnsi="標楷體" w:hint="eastAsia"/>
                <w:sz w:val="28"/>
                <w:szCs w:val="28"/>
              </w:rPr>
              <w:t>除錯</w:t>
            </w:r>
            <w:r w:rsidR="00866652" w:rsidRPr="00AF1EFD">
              <w:rPr>
                <w:rFonts w:ascii="標楷體" w:eastAsia="標楷體" w:hAnsi="標楷體" w:hint="eastAsia"/>
                <w:sz w:val="28"/>
                <w:szCs w:val="28"/>
              </w:rPr>
              <w:t>範疇。</w:t>
            </w:r>
          </w:p>
          <w:p w:rsidR="001B64C5" w:rsidRPr="00AF1EFD" w:rsidRDefault="001B64C5" w:rsidP="00BC0602">
            <w:pPr>
              <w:pStyle w:val="a7"/>
              <w:numPr>
                <w:ilvl w:val="0"/>
                <w:numId w:val="7"/>
              </w:numPr>
              <w:kinsoku w:val="0"/>
              <w:overflowPunct w:val="0"/>
              <w:autoSpaceDE w:val="0"/>
              <w:snapToGrid w:val="0"/>
              <w:spacing w:beforeLines="50" w:before="180" w:afterLines="50" w:after="180" w:line="240" w:lineRule="atLeast"/>
              <w:ind w:leftChars="0" w:left="567" w:hanging="567"/>
              <w:jc w:val="both"/>
              <w:textAlignment w:val="center"/>
              <w:rPr>
                <w:rFonts w:ascii="標楷體" w:eastAsia="標楷體" w:hAnsi="標楷體"/>
                <w:sz w:val="28"/>
                <w:szCs w:val="28"/>
              </w:rPr>
            </w:pPr>
            <w:r w:rsidRPr="00AF1EFD">
              <w:rPr>
                <w:rFonts w:ascii="標楷體" w:eastAsia="標楷體" w:hAnsi="標楷體" w:hint="eastAsia"/>
                <w:sz w:val="28"/>
                <w:szCs w:val="28"/>
              </w:rPr>
              <w:t>本法所稱當事人之定義，於第三款定明。</w:t>
            </w:r>
          </w:p>
        </w:tc>
      </w:tr>
      <w:tr w:rsidR="00AF1EFD" w:rsidRPr="00AF1EFD" w:rsidTr="00536DD7">
        <w:tc>
          <w:tcPr>
            <w:tcW w:w="4501" w:type="dxa"/>
            <w:tcBorders>
              <w:top w:val="single" w:sz="12" w:space="0" w:color="auto"/>
              <w:left w:val="single" w:sz="12" w:space="0" w:color="auto"/>
              <w:bottom w:val="single" w:sz="12" w:space="0" w:color="auto"/>
              <w:right w:val="single" w:sz="12" w:space="0" w:color="auto"/>
            </w:tcBorders>
            <w:vAlign w:val="center"/>
          </w:tcPr>
          <w:p w:rsidR="00E92EB5" w:rsidRPr="00AF1EFD" w:rsidRDefault="00E92EB5" w:rsidP="00E92EB5">
            <w:pPr>
              <w:snapToGrid w:val="0"/>
              <w:spacing w:beforeLines="50" w:before="180" w:afterLines="50" w:after="180" w:line="240" w:lineRule="atLeast"/>
              <w:jc w:val="center"/>
              <w:rPr>
                <w:rFonts w:ascii="標楷體" w:eastAsia="標楷體" w:hAnsi="標楷體"/>
                <w:b/>
                <w:sz w:val="28"/>
                <w:szCs w:val="28"/>
              </w:rPr>
            </w:pPr>
            <w:r w:rsidRPr="00AF1EFD">
              <w:rPr>
                <w:rFonts w:ascii="標楷體" w:eastAsia="標楷體" w:hAnsi="標楷體" w:hint="eastAsia"/>
                <w:b/>
                <w:sz w:val="28"/>
                <w:szCs w:val="28"/>
              </w:rPr>
              <w:lastRenderedPageBreak/>
              <w:t>第二章  說明、溝通及關懷</w:t>
            </w:r>
          </w:p>
        </w:tc>
        <w:tc>
          <w:tcPr>
            <w:tcW w:w="4502" w:type="dxa"/>
            <w:tcBorders>
              <w:top w:val="single" w:sz="12" w:space="0" w:color="auto"/>
              <w:left w:val="single" w:sz="12" w:space="0" w:color="auto"/>
              <w:bottom w:val="single" w:sz="12" w:space="0" w:color="auto"/>
              <w:right w:val="single" w:sz="12" w:space="0" w:color="auto"/>
            </w:tcBorders>
          </w:tcPr>
          <w:p w:rsidR="00E92EB5" w:rsidRPr="00AF1EFD" w:rsidRDefault="001B64C5" w:rsidP="00E92EB5">
            <w:pPr>
              <w:snapToGrid w:val="0"/>
              <w:spacing w:beforeLines="50" w:before="180" w:afterLines="50" w:after="180" w:line="240" w:lineRule="atLeast"/>
              <w:jc w:val="center"/>
              <w:rPr>
                <w:rFonts w:ascii="標楷體" w:eastAsia="標楷體" w:hAnsi="標楷體"/>
                <w:b/>
                <w:sz w:val="28"/>
                <w:szCs w:val="28"/>
              </w:rPr>
            </w:pPr>
            <w:r w:rsidRPr="00AF1EFD">
              <w:rPr>
                <w:rFonts w:ascii="標楷體" w:eastAsia="標楷體" w:hAnsi="標楷體"/>
                <w:b/>
                <w:sz w:val="28"/>
                <w:szCs w:val="28"/>
              </w:rPr>
              <w:t>章  名</w:t>
            </w:r>
          </w:p>
        </w:tc>
      </w:tr>
      <w:tr w:rsidR="00AF1EFD" w:rsidRPr="00AF1EFD" w:rsidTr="00536DD7">
        <w:tc>
          <w:tcPr>
            <w:tcW w:w="4501" w:type="dxa"/>
            <w:tcBorders>
              <w:top w:val="single" w:sz="12" w:space="0" w:color="auto"/>
            </w:tcBorders>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 xml:space="preserve">第四條  </w:t>
            </w:r>
            <w:r w:rsidRPr="00AF1EFD">
              <w:rPr>
                <w:rFonts w:ascii="標楷體" w:eastAsia="標楷體" w:hAnsi="標楷體"/>
                <w:sz w:val="28"/>
                <w:szCs w:val="28"/>
              </w:rPr>
              <w:t>一百床以上醫院應設醫</w:t>
            </w:r>
            <w:r w:rsidRPr="00AF1EFD">
              <w:rPr>
                <w:rFonts w:ascii="標楷體" w:eastAsia="標楷體" w:hAnsi="標楷體" w:hint="eastAsia"/>
                <w:sz w:val="28"/>
                <w:szCs w:val="28"/>
              </w:rPr>
              <w:t>事</w:t>
            </w:r>
            <w:r w:rsidRPr="00AF1EFD">
              <w:rPr>
                <w:rFonts w:ascii="標楷體" w:eastAsia="標楷體" w:hAnsi="標楷體"/>
                <w:sz w:val="28"/>
                <w:szCs w:val="28"/>
              </w:rPr>
              <w:t>爭議關懷小組</w:t>
            </w:r>
            <w:r w:rsidRPr="00AF1EFD">
              <w:rPr>
                <w:rFonts w:ascii="標楷體" w:eastAsia="標楷體" w:hAnsi="標楷體" w:hint="eastAsia"/>
                <w:sz w:val="28"/>
                <w:szCs w:val="28"/>
              </w:rPr>
              <w:t>，</w:t>
            </w:r>
            <w:r w:rsidRPr="00AF1EFD">
              <w:rPr>
                <w:rFonts w:ascii="標楷體" w:eastAsia="標楷體" w:hAnsi="標楷體"/>
                <w:sz w:val="28"/>
                <w:szCs w:val="28"/>
              </w:rPr>
              <w:t>於醫</w:t>
            </w:r>
            <w:r w:rsidRPr="00AF1EFD">
              <w:rPr>
                <w:rFonts w:ascii="標楷體" w:eastAsia="標楷體" w:hAnsi="標楷體" w:hint="eastAsia"/>
                <w:sz w:val="28"/>
                <w:szCs w:val="28"/>
              </w:rPr>
              <w:t>事爭議</w:t>
            </w:r>
            <w:r w:rsidRPr="00AF1EFD">
              <w:rPr>
                <w:rFonts w:ascii="標楷體" w:eastAsia="標楷體" w:hAnsi="標楷體"/>
                <w:sz w:val="28"/>
                <w:szCs w:val="28"/>
              </w:rPr>
              <w:t>事件發生後儘速向病人</w:t>
            </w:r>
            <w:r w:rsidRPr="00AF1EFD">
              <w:rPr>
                <w:rFonts w:ascii="標楷體" w:eastAsia="標楷體" w:hAnsi="標楷體" w:hint="eastAsia"/>
                <w:sz w:val="28"/>
                <w:szCs w:val="28"/>
              </w:rPr>
              <w:t>、</w:t>
            </w:r>
            <w:r w:rsidRPr="00AF1EFD">
              <w:rPr>
                <w:rFonts w:ascii="標楷體" w:eastAsia="標楷體" w:hAnsi="標楷體"/>
                <w:sz w:val="28"/>
                <w:szCs w:val="28"/>
              </w:rPr>
              <w:t>家屬或其代理人說明</w:t>
            </w:r>
            <w:r w:rsidRPr="00AF1EFD">
              <w:rPr>
                <w:rFonts w:ascii="標楷體" w:eastAsia="標楷體" w:hAnsi="標楷體" w:hint="eastAsia"/>
                <w:sz w:val="28"/>
                <w:szCs w:val="28"/>
              </w:rPr>
              <w:t>、</w:t>
            </w:r>
            <w:r w:rsidRPr="00AF1EFD">
              <w:rPr>
                <w:rFonts w:ascii="標楷體" w:eastAsia="標楷體" w:hAnsi="標楷體"/>
                <w:sz w:val="28"/>
                <w:szCs w:val="28"/>
              </w:rPr>
              <w:t>溝通</w:t>
            </w:r>
            <w:r w:rsidRPr="00C56498">
              <w:rPr>
                <w:rFonts w:ascii="標楷體" w:eastAsia="標楷體" w:hAnsi="標楷體" w:hint="eastAsia"/>
                <w:sz w:val="28"/>
                <w:szCs w:val="28"/>
              </w:rPr>
              <w:t>，</w:t>
            </w:r>
            <w:r w:rsidRPr="00AF1EFD">
              <w:rPr>
                <w:rFonts w:ascii="標楷體" w:eastAsia="標楷體" w:hAnsi="標楷體"/>
                <w:sz w:val="28"/>
                <w:szCs w:val="28"/>
              </w:rPr>
              <w:t>並提供協助及關懷服務</w:t>
            </w:r>
            <w:r w:rsidRPr="00AF1EFD">
              <w:rPr>
                <w:rFonts w:ascii="標楷體" w:eastAsia="標楷體" w:hAnsi="標楷體" w:hint="eastAsia"/>
                <w:sz w:val="28"/>
                <w:szCs w:val="28"/>
              </w:rPr>
              <w:t>。</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sz w:val="28"/>
                <w:szCs w:val="28"/>
              </w:rPr>
              <w:t>九十九床以下醫院、</w:t>
            </w:r>
            <w:r w:rsidRPr="00AF1EFD">
              <w:rPr>
                <w:rFonts w:ascii="標楷體" w:eastAsia="標楷體" w:hAnsi="標楷體" w:hint="eastAsia"/>
                <w:sz w:val="28"/>
                <w:szCs w:val="28"/>
              </w:rPr>
              <w:t>診所或其他醫療機構，應</w:t>
            </w:r>
            <w:r w:rsidRPr="00AF1EFD">
              <w:rPr>
                <w:rFonts w:ascii="標楷體" w:eastAsia="標楷體" w:hAnsi="標楷體"/>
                <w:sz w:val="28"/>
                <w:szCs w:val="28"/>
              </w:rPr>
              <w:t>指定專業人員或</w:t>
            </w:r>
            <w:r w:rsidRPr="00AF1EFD">
              <w:rPr>
                <w:rFonts w:ascii="標楷體" w:eastAsia="標楷體" w:hAnsi="標楷體" w:hint="eastAsia"/>
                <w:sz w:val="28"/>
                <w:szCs w:val="28"/>
              </w:rPr>
              <w:t>委由專業機構或團體為第一項之</w:t>
            </w:r>
            <w:r w:rsidRPr="00AF1EFD">
              <w:rPr>
                <w:rFonts w:ascii="標楷體" w:eastAsia="標楷體" w:hAnsi="標楷體"/>
                <w:sz w:val="28"/>
                <w:szCs w:val="28"/>
              </w:rPr>
              <w:t>說明</w:t>
            </w:r>
            <w:r w:rsidRPr="00AF1EFD">
              <w:rPr>
                <w:rFonts w:ascii="標楷體" w:eastAsia="標楷體" w:hAnsi="標楷體" w:hint="eastAsia"/>
                <w:sz w:val="28"/>
                <w:szCs w:val="28"/>
              </w:rPr>
              <w:t>、</w:t>
            </w:r>
            <w:r w:rsidRPr="00AF1EFD">
              <w:rPr>
                <w:rFonts w:ascii="標楷體" w:eastAsia="標楷體" w:hAnsi="標楷體"/>
                <w:sz w:val="28"/>
                <w:szCs w:val="28"/>
              </w:rPr>
              <w:t>溝通</w:t>
            </w:r>
            <w:r w:rsidRPr="00AF1EFD">
              <w:rPr>
                <w:rFonts w:ascii="標楷體" w:eastAsia="標楷體" w:hAnsi="標楷體" w:hint="eastAsia"/>
                <w:sz w:val="28"/>
                <w:szCs w:val="28"/>
              </w:rPr>
              <w:t>、</w:t>
            </w:r>
            <w:r w:rsidRPr="00AF1EFD">
              <w:rPr>
                <w:rFonts w:ascii="標楷體" w:eastAsia="標楷體" w:hAnsi="標楷體"/>
                <w:sz w:val="28"/>
                <w:szCs w:val="28"/>
              </w:rPr>
              <w:t>協助及關懷服務</w:t>
            </w:r>
            <w:r w:rsidRPr="00AF1EFD">
              <w:rPr>
                <w:rFonts w:ascii="標楷體" w:eastAsia="標楷體" w:hAnsi="標楷體" w:hint="eastAsia"/>
                <w:sz w:val="28"/>
                <w:szCs w:val="28"/>
              </w:rPr>
              <w:t>。</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醫事爭議關懷小組之成員，應包含醫學、法律、心理、社會工作或其他相關專業人員。</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病人、家屬或其代理人有聽覺、語言功能或其他障礙致溝通困難時，應由受有相關訓練之人員協助說明、溝通及關懷。</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醫療機構於進行本條第一項及第二項之說明、溝通、協助</w:t>
            </w:r>
            <w:r w:rsidRPr="00AF1EFD">
              <w:rPr>
                <w:rFonts w:ascii="標楷體" w:eastAsia="標楷體" w:hAnsi="標楷體" w:hint="eastAsia"/>
                <w:sz w:val="28"/>
                <w:szCs w:val="28"/>
              </w:rPr>
              <w:lastRenderedPageBreak/>
              <w:t>及關懷服務時，應主動告知病人、家屬或其代理人有關申請評析之程序及其他相關資訊。</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中央主管機關應辦理強化醫療機構關懷人員說明、溝通及關懷之訓練講習。</w:t>
            </w:r>
          </w:p>
        </w:tc>
        <w:tc>
          <w:tcPr>
            <w:tcW w:w="4502" w:type="dxa"/>
            <w:tcBorders>
              <w:top w:val="single" w:sz="12" w:space="0" w:color="auto"/>
            </w:tcBorders>
          </w:tcPr>
          <w:p w:rsidR="00F95476" w:rsidRPr="00AF1EFD" w:rsidRDefault="001B64C5" w:rsidP="00BC0602">
            <w:pPr>
              <w:pStyle w:val="a7"/>
              <w:numPr>
                <w:ilvl w:val="0"/>
                <w:numId w:val="8"/>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lastRenderedPageBreak/>
              <w:t>第一項明定一百床以上醫院應設置醫事爭議關懷小組，以便於醫</w:t>
            </w:r>
            <w:r w:rsidR="00C56498">
              <w:rPr>
                <w:rFonts w:ascii="標楷體" w:eastAsia="標楷體" w:hAnsi="標楷體" w:hint="eastAsia"/>
                <w:sz w:val="28"/>
                <w:szCs w:val="28"/>
              </w:rPr>
              <w:t>事</w:t>
            </w:r>
            <w:r w:rsidR="00F95476" w:rsidRPr="00AF1EFD">
              <w:rPr>
                <w:rFonts w:ascii="標楷體" w:eastAsia="標楷體" w:hAnsi="標楷體" w:hint="eastAsia"/>
                <w:sz w:val="28"/>
                <w:szCs w:val="28"/>
              </w:rPr>
              <w:t>爭議</w:t>
            </w:r>
            <w:r w:rsidRPr="00AF1EFD">
              <w:rPr>
                <w:rFonts w:ascii="標楷體" w:eastAsia="標楷體" w:hAnsi="標楷體" w:hint="eastAsia"/>
                <w:sz w:val="28"/>
                <w:szCs w:val="28"/>
              </w:rPr>
              <w:t>事件發生時</w:t>
            </w:r>
            <w:r w:rsidR="00F95476" w:rsidRPr="00AF1EFD">
              <w:rPr>
                <w:rFonts w:ascii="標楷體" w:eastAsia="標楷體" w:hAnsi="標楷體" w:hint="eastAsia"/>
                <w:sz w:val="28"/>
                <w:szCs w:val="28"/>
              </w:rPr>
              <w:t>由</w:t>
            </w:r>
            <w:r w:rsidRPr="00AF1EFD">
              <w:rPr>
                <w:rFonts w:ascii="標楷體" w:eastAsia="標楷體" w:hAnsi="標楷體" w:hint="eastAsia"/>
                <w:sz w:val="28"/>
                <w:szCs w:val="28"/>
              </w:rPr>
              <w:t>小組</w:t>
            </w:r>
            <w:r w:rsidR="00F95476" w:rsidRPr="00AF1EFD">
              <w:rPr>
                <w:rFonts w:ascii="標楷體" w:eastAsia="標楷體" w:hAnsi="標楷體" w:hint="eastAsia"/>
                <w:sz w:val="28"/>
                <w:szCs w:val="28"/>
              </w:rPr>
              <w:t>成員</w:t>
            </w:r>
            <w:r w:rsidRPr="00AF1EFD">
              <w:rPr>
                <w:rFonts w:ascii="標楷體" w:eastAsia="標楷體" w:hAnsi="標楷體" w:hint="eastAsia"/>
                <w:sz w:val="28"/>
                <w:szCs w:val="28"/>
              </w:rPr>
              <w:t>先向病人、家屬或其代理人進行說明或溝通，釐清爭議所在，</w:t>
            </w:r>
            <w:r w:rsidR="00F95476" w:rsidRPr="00AF1EFD">
              <w:rPr>
                <w:rFonts w:ascii="標楷體" w:eastAsia="標楷體" w:hAnsi="標楷體" w:hint="eastAsia"/>
                <w:sz w:val="28"/>
                <w:szCs w:val="28"/>
              </w:rPr>
              <w:t>並提供</w:t>
            </w:r>
            <w:r w:rsidRPr="00AF1EFD">
              <w:rPr>
                <w:rFonts w:ascii="標楷體" w:eastAsia="標楷體" w:hAnsi="標楷體" w:hint="eastAsia"/>
                <w:sz w:val="28"/>
                <w:szCs w:val="28"/>
              </w:rPr>
              <w:t>協助</w:t>
            </w:r>
            <w:r w:rsidR="00F95476" w:rsidRPr="00AF1EFD">
              <w:rPr>
                <w:rFonts w:ascii="標楷體" w:eastAsia="標楷體" w:hAnsi="標楷體" w:hint="eastAsia"/>
                <w:sz w:val="28"/>
                <w:szCs w:val="28"/>
              </w:rPr>
              <w:t>及</w:t>
            </w:r>
            <w:r w:rsidRPr="00AF1EFD">
              <w:rPr>
                <w:rFonts w:ascii="標楷體" w:eastAsia="標楷體" w:hAnsi="標楷體" w:hint="eastAsia"/>
                <w:sz w:val="28"/>
                <w:szCs w:val="28"/>
              </w:rPr>
              <w:t>關懷服務，</w:t>
            </w:r>
            <w:r w:rsidR="00F95476" w:rsidRPr="00AF1EFD">
              <w:rPr>
                <w:rFonts w:ascii="標楷體" w:eastAsia="標楷體" w:hAnsi="標楷體" w:hint="eastAsia"/>
                <w:sz w:val="28"/>
                <w:szCs w:val="28"/>
              </w:rPr>
              <w:t>以收</w:t>
            </w:r>
            <w:r w:rsidRPr="00AF1EFD">
              <w:rPr>
                <w:rFonts w:ascii="標楷體" w:eastAsia="標楷體" w:hAnsi="標楷體" w:hint="eastAsia"/>
                <w:sz w:val="28"/>
                <w:szCs w:val="28"/>
              </w:rPr>
              <w:t>緩和病人或家屬情緒</w:t>
            </w:r>
            <w:r w:rsidR="00F95476" w:rsidRPr="00AF1EFD">
              <w:rPr>
                <w:rFonts w:ascii="標楷體" w:eastAsia="標楷體" w:hAnsi="標楷體" w:hint="eastAsia"/>
                <w:sz w:val="28"/>
                <w:szCs w:val="28"/>
              </w:rPr>
              <w:t>及</w:t>
            </w:r>
            <w:r w:rsidRPr="00AF1EFD">
              <w:rPr>
                <w:rFonts w:ascii="標楷體" w:eastAsia="標楷體" w:hAnsi="標楷體" w:hint="eastAsia"/>
                <w:sz w:val="28"/>
                <w:szCs w:val="28"/>
              </w:rPr>
              <w:t>先行消弭爭議</w:t>
            </w:r>
            <w:r w:rsidR="00F95476" w:rsidRPr="00AF1EFD">
              <w:rPr>
                <w:rFonts w:ascii="標楷體" w:eastAsia="標楷體" w:hAnsi="標楷體" w:hint="eastAsia"/>
                <w:sz w:val="28"/>
                <w:szCs w:val="28"/>
              </w:rPr>
              <w:t>之效</w:t>
            </w:r>
            <w:r w:rsidRPr="00AF1EFD">
              <w:rPr>
                <w:rFonts w:ascii="標楷體" w:eastAsia="標楷體" w:hAnsi="標楷體" w:hint="eastAsia"/>
                <w:sz w:val="28"/>
                <w:szCs w:val="28"/>
              </w:rPr>
              <w:t>，促使後續調解程序平和進行。</w:t>
            </w:r>
          </w:p>
          <w:p w:rsidR="001B64C5" w:rsidRPr="00AF1EFD" w:rsidRDefault="00F95476" w:rsidP="00BC0602">
            <w:pPr>
              <w:pStyle w:val="a7"/>
              <w:numPr>
                <w:ilvl w:val="0"/>
                <w:numId w:val="8"/>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第二項明訂九十九床以下醫院、診所或其他較小之醫療機構，於醫</w:t>
            </w:r>
            <w:r w:rsidR="00C56498">
              <w:rPr>
                <w:rFonts w:ascii="標楷體" w:eastAsia="標楷體" w:hAnsi="標楷體" w:hint="eastAsia"/>
                <w:sz w:val="28"/>
                <w:szCs w:val="28"/>
              </w:rPr>
              <w:t>事</w:t>
            </w:r>
            <w:r w:rsidRPr="00AF1EFD">
              <w:rPr>
                <w:rFonts w:ascii="標楷體" w:eastAsia="標楷體" w:hAnsi="標楷體" w:hint="eastAsia"/>
                <w:sz w:val="28"/>
                <w:szCs w:val="28"/>
              </w:rPr>
              <w:t>爭議事件發生時應</w:t>
            </w:r>
            <w:r w:rsidR="001B64C5" w:rsidRPr="00AF1EFD">
              <w:rPr>
                <w:rFonts w:ascii="標楷體" w:eastAsia="標楷體" w:hAnsi="標楷體" w:hint="eastAsia"/>
                <w:sz w:val="28"/>
                <w:szCs w:val="28"/>
              </w:rPr>
              <w:t>指派專責人員</w:t>
            </w:r>
            <w:r w:rsidRPr="00AF1EFD">
              <w:rPr>
                <w:rFonts w:ascii="標楷體" w:eastAsia="標楷體" w:hAnsi="標楷體" w:hint="eastAsia"/>
                <w:sz w:val="28"/>
                <w:szCs w:val="28"/>
              </w:rPr>
              <w:t>委由專業機構或團體</w:t>
            </w:r>
            <w:r w:rsidR="001B64C5" w:rsidRPr="00AF1EFD">
              <w:rPr>
                <w:rFonts w:ascii="標楷體" w:eastAsia="標楷體" w:hAnsi="標楷體" w:hint="eastAsia"/>
                <w:sz w:val="28"/>
                <w:szCs w:val="28"/>
              </w:rPr>
              <w:t>，</w:t>
            </w:r>
            <w:r w:rsidRPr="00AF1EFD">
              <w:rPr>
                <w:rFonts w:ascii="標楷體" w:eastAsia="標楷體" w:hAnsi="標楷體" w:hint="eastAsia"/>
                <w:sz w:val="28"/>
                <w:szCs w:val="28"/>
              </w:rPr>
              <w:t>進行</w:t>
            </w:r>
            <w:r w:rsidRPr="00AF1EFD">
              <w:rPr>
                <w:rFonts w:ascii="標楷體" w:eastAsia="標楷體" w:hAnsi="標楷體"/>
                <w:sz w:val="28"/>
                <w:szCs w:val="28"/>
              </w:rPr>
              <w:t>說明</w:t>
            </w:r>
            <w:r w:rsidRPr="00AF1EFD">
              <w:rPr>
                <w:rFonts w:ascii="標楷體" w:eastAsia="標楷體" w:hAnsi="標楷體" w:hint="eastAsia"/>
                <w:sz w:val="28"/>
                <w:szCs w:val="28"/>
              </w:rPr>
              <w:t>、</w:t>
            </w:r>
            <w:r w:rsidRPr="00AF1EFD">
              <w:rPr>
                <w:rFonts w:ascii="標楷體" w:eastAsia="標楷體" w:hAnsi="標楷體"/>
                <w:sz w:val="28"/>
                <w:szCs w:val="28"/>
              </w:rPr>
              <w:t>溝通</w:t>
            </w:r>
            <w:r w:rsidRPr="00AF1EFD">
              <w:rPr>
                <w:rFonts w:ascii="標楷體" w:eastAsia="標楷體" w:hAnsi="標楷體" w:hint="eastAsia"/>
                <w:sz w:val="28"/>
                <w:szCs w:val="28"/>
              </w:rPr>
              <w:t>、</w:t>
            </w:r>
            <w:r w:rsidRPr="00AF1EFD">
              <w:rPr>
                <w:rFonts w:ascii="標楷體" w:eastAsia="標楷體" w:hAnsi="標楷體"/>
                <w:sz w:val="28"/>
                <w:szCs w:val="28"/>
              </w:rPr>
              <w:t>協助及關懷服務</w:t>
            </w:r>
            <w:r w:rsidR="001B64C5" w:rsidRPr="00AF1EFD">
              <w:rPr>
                <w:rFonts w:ascii="標楷體" w:eastAsia="標楷體" w:hAnsi="標楷體" w:hint="eastAsia"/>
                <w:sz w:val="28"/>
                <w:szCs w:val="28"/>
              </w:rPr>
              <w:t>。</w:t>
            </w:r>
          </w:p>
          <w:p w:rsidR="001B64C5" w:rsidRPr="00AF1EFD" w:rsidRDefault="001B64C5" w:rsidP="00BC0602">
            <w:pPr>
              <w:pStyle w:val="a7"/>
              <w:numPr>
                <w:ilvl w:val="0"/>
                <w:numId w:val="8"/>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第三項</w:t>
            </w:r>
            <w:r w:rsidR="00F95476" w:rsidRPr="00AF1EFD">
              <w:rPr>
                <w:rFonts w:ascii="標楷體" w:eastAsia="標楷體" w:hAnsi="標楷體" w:hint="eastAsia"/>
                <w:sz w:val="28"/>
                <w:szCs w:val="28"/>
              </w:rPr>
              <w:t>及第四項</w:t>
            </w:r>
            <w:r w:rsidRPr="00AF1EFD">
              <w:rPr>
                <w:rFonts w:ascii="標楷體" w:eastAsia="標楷體" w:hAnsi="標楷體" w:hint="eastAsia"/>
                <w:sz w:val="28"/>
                <w:szCs w:val="28"/>
              </w:rPr>
              <w:t>明定</w:t>
            </w:r>
            <w:r w:rsidR="00F95476" w:rsidRPr="00AF1EFD">
              <w:rPr>
                <w:rFonts w:ascii="標楷體" w:eastAsia="標楷體" w:hAnsi="標楷體" w:hint="eastAsia"/>
                <w:sz w:val="28"/>
                <w:szCs w:val="28"/>
              </w:rPr>
              <w:t>關懷</w:t>
            </w:r>
            <w:r w:rsidRPr="00AF1EFD">
              <w:rPr>
                <w:rFonts w:ascii="標楷體" w:eastAsia="標楷體" w:hAnsi="標楷體" w:hint="eastAsia"/>
                <w:sz w:val="28"/>
                <w:szCs w:val="28"/>
              </w:rPr>
              <w:t>小組</w:t>
            </w:r>
            <w:r w:rsidR="00F95476" w:rsidRPr="00AF1EFD">
              <w:rPr>
                <w:rFonts w:ascii="標楷體" w:eastAsia="標楷體" w:hAnsi="標楷體" w:hint="eastAsia"/>
                <w:sz w:val="28"/>
                <w:szCs w:val="28"/>
              </w:rPr>
              <w:t>應由各種專業人</w:t>
            </w:r>
            <w:r w:rsidRPr="00AF1EFD">
              <w:rPr>
                <w:rFonts w:ascii="標楷體" w:eastAsia="標楷體" w:hAnsi="標楷體" w:hint="eastAsia"/>
                <w:sz w:val="28"/>
                <w:szCs w:val="28"/>
              </w:rPr>
              <w:t>員</w:t>
            </w:r>
            <w:r w:rsidR="00F95476" w:rsidRPr="00AF1EFD">
              <w:rPr>
                <w:rFonts w:ascii="標楷體" w:eastAsia="標楷體" w:hAnsi="標楷體" w:hint="eastAsia"/>
                <w:sz w:val="28"/>
                <w:szCs w:val="28"/>
              </w:rPr>
              <w:t>組成</w:t>
            </w:r>
            <w:r w:rsidRPr="00AF1EFD">
              <w:rPr>
                <w:rFonts w:ascii="標楷體" w:eastAsia="標楷體" w:hAnsi="標楷體" w:hint="eastAsia"/>
                <w:sz w:val="28"/>
                <w:szCs w:val="28"/>
              </w:rPr>
              <w:t>，其人數多寡及組成，得視醫療機構規模及當地資源予以決定。</w:t>
            </w:r>
          </w:p>
          <w:p w:rsidR="00E92EB5" w:rsidRPr="00AF1EFD" w:rsidRDefault="00F95476" w:rsidP="00BC0602">
            <w:pPr>
              <w:pStyle w:val="a7"/>
              <w:numPr>
                <w:ilvl w:val="0"/>
                <w:numId w:val="8"/>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末項定明</w:t>
            </w:r>
            <w:r w:rsidR="001B64C5" w:rsidRPr="00AF1EFD">
              <w:rPr>
                <w:rFonts w:ascii="標楷體" w:eastAsia="標楷體" w:hAnsi="標楷體" w:hint="eastAsia"/>
                <w:sz w:val="28"/>
                <w:szCs w:val="28"/>
              </w:rPr>
              <w:t>辦理強化醫療機構關</w:t>
            </w:r>
            <w:r w:rsidR="001B64C5" w:rsidRPr="00AF1EFD">
              <w:rPr>
                <w:rFonts w:ascii="標楷體" w:eastAsia="標楷體" w:hAnsi="標楷體" w:hint="eastAsia"/>
                <w:sz w:val="28"/>
                <w:szCs w:val="28"/>
              </w:rPr>
              <w:lastRenderedPageBreak/>
              <w:t>懷人員說明、溝通及關懷之訓練講習之預算法源。</w:t>
            </w:r>
          </w:p>
        </w:tc>
      </w:tr>
      <w:tr w:rsidR="00AF1EFD" w:rsidRPr="00AF1EFD" w:rsidTr="00536DD7">
        <w:tc>
          <w:tcPr>
            <w:tcW w:w="4501" w:type="dxa"/>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lastRenderedPageBreak/>
              <w:t>第五條　醫事爭議發生時，病人、家屬或其代理人得請求醫療機構提供病人個人病歷、各項檢查報告、健保醫令清單或其他相關資料複製本。</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前項資料，醫療機構應於三個工作日內提供；資料繁多時，至遲應於七個工作日內提供。</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第一項資料複製所需費用，由請求人負擔。</w:t>
            </w:r>
          </w:p>
        </w:tc>
        <w:tc>
          <w:tcPr>
            <w:tcW w:w="4502" w:type="dxa"/>
          </w:tcPr>
          <w:p w:rsidR="00E92EB5" w:rsidRPr="00AF1EFD" w:rsidRDefault="008B764C" w:rsidP="008B764C">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為強化病歷保存證據之取得，減輕病人方對於病歷真偽之質疑，並據以提升醫</w:t>
            </w:r>
            <w:r w:rsidR="00C56498">
              <w:rPr>
                <w:rFonts w:ascii="標楷體" w:eastAsia="標楷體" w:hAnsi="標楷體" w:hint="eastAsia"/>
                <w:sz w:val="28"/>
                <w:szCs w:val="28"/>
              </w:rPr>
              <w:t>事</w:t>
            </w:r>
            <w:r w:rsidRPr="00AF1EFD">
              <w:rPr>
                <w:rFonts w:ascii="標楷體" w:eastAsia="標楷體" w:hAnsi="標楷體" w:hint="eastAsia"/>
                <w:sz w:val="28"/>
                <w:szCs w:val="28"/>
              </w:rPr>
              <w:t>爭議處理之客觀性，明定醫療機構提供病歷或各項檢查報告資料複製本之義務及期限，並應由請求病人方負擔複製費用。</w:t>
            </w:r>
          </w:p>
        </w:tc>
      </w:tr>
      <w:tr w:rsidR="00AF1EFD" w:rsidRPr="00AF1EFD" w:rsidTr="00536DD7">
        <w:tc>
          <w:tcPr>
            <w:tcW w:w="4501" w:type="dxa"/>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第六條　依第四條規定進行說明、溝通、提供協助或關懷服務過程中，醫事人員或其代理人所為遺憾、道歉或其他相類似之陳述，不得採為相關訴訟之證據或裁判基礎。</w:t>
            </w:r>
          </w:p>
        </w:tc>
        <w:tc>
          <w:tcPr>
            <w:tcW w:w="4502" w:type="dxa"/>
          </w:tcPr>
          <w:p w:rsidR="00E92EB5" w:rsidRPr="00AF1EFD" w:rsidRDefault="008B764C" w:rsidP="008B764C">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為有效消弭醫</w:t>
            </w:r>
            <w:r w:rsidR="00C56498">
              <w:rPr>
                <w:rFonts w:ascii="標楷體" w:eastAsia="標楷體" w:hAnsi="標楷體" w:hint="eastAsia"/>
                <w:sz w:val="28"/>
                <w:szCs w:val="28"/>
              </w:rPr>
              <w:t>事</w:t>
            </w:r>
            <w:r w:rsidRPr="00AF1EFD">
              <w:rPr>
                <w:rFonts w:ascii="標楷體" w:eastAsia="標楷體" w:hAnsi="標楷體" w:hint="eastAsia"/>
                <w:sz w:val="28"/>
                <w:szCs w:val="28"/>
              </w:rPr>
              <w:t>爭議，明定醫事人員或其代理人於依本章規定進行程序中所為遺憾、道歉或相類似陳述，不得採為本案後續或相關偵查、裁判案件之證據或裁判之基礎，俾使醫事人員或其代理人於醫療爭議發生時，勇於向病患或家屬表達歉意，緩和醫病關係，以避免因摩擦而使醫</w:t>
            </w:r>
            <w:r w:rsidR="00C56498">
              <w:rPr>
                <w:rFonts w:ascii="標楷體" w:eastAsia="標楷體" w:hAnsi="標楷體" w:hint="eastAsia"/>
                <w:sz w:val="28"/>
                <w:szCs w:val="28"/>
              </w:rPr>
              <w:t>事</w:t>
            </w:r>
            <w:r w:rsidRPr="00AF1EFD">
              <w:rPr>
                <w:rFonts w:ascii="標楷體" w:eastAsia="標楷體" w:hAnsi="標楷體" w:hint="eastAsia"/>
                <w:sz w:val="28"/>
                <w:szCs w:val="28"/>
              </w:rPr>
              <w:t>爭議衍生為訴訟事件，期有效減少醫</w:t>
            </w:r>
            <w:r w:rsidR="00C56498">
              <w:rPr>
                <w:rFonts w:ascii="標楷體" w:eastAsia="標楷體" w:hAnsi="標楷體" w:hint="eastAsia"/>
                <w:sz w:val="28"/>
                <w:szCs w:val="28"/>
              </w:rPr>
              <w:t>事爭議</w:t>
            </w:r>
            <w:r w:rsidRPr="00AF1EFD">
              <w:rPr>
                <w:rFonts w:ascii="標楷體" w:eastAsia="標楷體" w:hAnsi="標楷體" w:hint="eastAsia"/>
                <w:sz w:val="28"/>
                <w:szCs w:val="28"/>
              </w:rPr>
              <w:t>案件，創造醫病關係雙贏。</w:t>
            </w:r>
          </w:p>
        </w:tc>
      </w:tr>
      <w:tr w:rsidR="00AF1EFD" w:rsidRPr="00AF1EFD" w:rsidTr="00536DD7">
        <w:tc>
          <w:tcPr>
            <w:tcW w:w="4501" w:type="dxa"/>
            <w:tcBorders>
              <w:bottom w:val="single" w:sz="12" w:space="0" w:color="auto"/>
            </w:tcBorders>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第七條　中央主管機關得委託具醫事專業之財團法人、機構或團體辦理醫事爭議事件評析業務，必要時，得捐助成立財團法人。</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受委託之財團法人、機構或團體辦理前項評析時，應秉持公</w:t>
            </w:r>
            <w:r w:rsidRPr="00AF1EFD">
              <w:rPr>
                <w:rFonts w:ascii="標楷體" w:eastAsia="標楷體" w:hAnsi="標楷體" w:hint="eastAsia"/>
                <w:sz w:val="28"/>
                <w:szCs w:val="28"/>
              </w:rPr>
              <w:lastRenderedPageBreak/>
              <w:t>正、客觀及中立立場，提供有關醫事專業之意見，並以雙向匿名方式處理。</w:t>
            </w:r>
          </w:p>
          <w:p w:rsidR="00E92EB5" w:rsidRPr="00AF1EFD" w:rsidRDefault="00E92EB5" w:rsidP="001B4D47">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當事人得檢具病歷複製本，並支付費用，向第一項財團法人、機構或團體申請初步評析。申請人為低收入戶、中低收入戶者，由中央主管機關補助之。</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第一項財團法人、機構或團體之資格與限制、第三項申請程序、費用支付標準、補助條件與金額及其他應遵行事項之辦法，由中央主管機關定之。</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中央主管機關得隨時要求第一項受委託之財團法人、機構或團體提出業務及財務報告，並得隨時派員檢查其業務狀況</w:t>
            </w:r>
            <w:r w:rsidRPr="00C56498">
              <w:rPr>
                <w:rFonts w:ascii="標楷體" w:eastAsia="標楷體" w:hAnsi="標楷體" w:hint="eastAsia"/>
                <w:sz w:val="28"/>
                <w:szCs w:val="28"/>
              </w:rPr>
              <w:t>、會計帳簿或其他相關資料。</w:t>
            </w:r>
          </w:p>
        </w:tc>
        <w:tc>
          <w:tcPr>
            <w:tcW w:w="4502" w:type="dxa"/>
            <w:tcBorders>
              <w:bottom w:val="single" w:sz="12" w:space="0" w:color="auto"/>
            </w:tcBorders>
          </w:tcPr>
          <w:p w:rsidR="001B6790" w:rsidRPr="00AF1EFD" w:rsidRDefault="001B6790" w:rsidP="00BC0602">
            <w:pPr>
              <w:pStyle w:val="a7"/>
              <w:numPr>
                <w:ilvl w:val="0"/>
                <w:numId w:val="9"/>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lastRenderedPageBreak/>
              <w:t>為使病人於發生醫</w:t>
            </w:r>
            <w:r w:rsidR="00C56498">
              <w:rPr>
                <w:rFonts w:ascii="標楷體" w:eastAsia="標楷體" w:hAnsi="標楷體" w:hint="eastAsia"/>
                <w:sz w:val="28"/>
                <w:szCs w:val="28"/>
              </w:rPr>
              <w:t>事爭議</w:t>
            </w:r>
            <w:r w:rsidRPr="00AF1EFD">
              <w:rPr>
                <w:rFonts w:ascii="標楷體" w:eastAsia="標楷體" w:hAnsi="標楷體" w:hint="eastAsia"/>
                <w:sz w:val="28"/>
                <w:szCs w:val="28"/>
              </w:rPr>
              <w:t>後，可循第三管道獲得醫學領域專業知識或諮商意見，以緩解醫病雙方認知落差，並達到瞭解真相、預為止紛之效果，於第一項明定中央主管機關得委託</w:t>
            </w:r>
            <w:r w:rsidRPr="00AF1EFD">
              <w:rPr>
                <w:rFonts w:ascii="標楷體" w:eastAsia="標楷體" w:hAnsi="標楷體" w:hint="eastAsia"/>
                <w:sz w:val="28"/>
                <w:szCs w:val="28"/>
              </w:rPr>
              <w:lastRenderedPageBreak/>
              <w:t>具醫事專業之財團法人、機構或團體辦理醫事爭議事件評析業務，必要時，得捐助成立財團法人。</w:t>
            </w:r>
          </w:p>
          <w:p w:rsidR="001B6790" w:rsidRPr="00AF1EFD" w:rsidRDefault="001B6790" w:rsidP="00BC0602">
            <w:pPr>
              <w:pStyle w:val="a7"/>
              <w:numPr>
                <w:ilvl w:val="0"/>
                <w:numId w:val="9"/>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第二項明定受託者辦理評析業務之原則。</w:t>
            </w:r>
          </w:p>
          <w:p w:rsidR="001B4D47" w:rsidRPr="00AF1EFD" w:rsidRDefault="001B4D47" w:rsidP="00BC0602">
            <w:pPr>
              <w:pStyle w:val="a7"/>
              <w:numPr>
                <w:ilvl w:val="0"/>
                <w:numId w:val="9"/>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為避免社會救助法所稱低收入戶及中低收入戶者之弱勢民眾，因資力問題未能申請評析意見，爰增訂第三項，由中央主管機關補助其申請費用。</w:t>
            </w:r>
          </w:p>
          <w:p w:rsidR="00E92EB5" w:rsidRPr="00AF1EFD" w:rsidRDefault="001B6790" w:rsidP="00BC0602">
            <w:pPr>
              <w:pStyle w:val="a7"/>
              <w:numPr>
                <w:ilvl w:val="0"/>
                <w:numId w:val="9"/>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w:t>
            </w:r>
            <w:r w:rsidR="001B4D47" w:rsidRPr="00AF1EFD">
              <w:rPr>
                <w:rFonts w:ascii="標楷體" w:eastAsia="標楷體" w:hAnsi="標楷體" w:hint="eastAsia"/>
                <w:sz w:val="28"/>
                <w:szCs w:val="28"/>
              </w:rPr>
              <w:t>四</w:t>
            </w:r>
            <w:r w:rsidRPr="00AF1EFD">
              <w:rPr>
                <w:rFonts w:ascii="標楷體" w:eastAsia="標楷體" w:hAnsi="標楷體" w:hint="eastAsia"/>
                <w:sz w:val="28"/>
                <w:szCs w:val="28"/>
              </w:rPr>
              <w:t>項明定中央主管機關得</w:t>
            </w:r>
            <w:r w:rsidR="001B4D47" w:rsidRPr="00AF1EFD">
              <w:rPr>
                <w:rFonts w:ascii="標楷體" w:eastAsia="標楷體" w:hAnsi="標楷體" w:hint="eastAsia"/>
                <w:sz w:val="28"/>
                <w:szCs w:val="28"/>
              </w:rPr>
              <w:t>就財團法人、機構或團體之資格與限制、第三項申請程序、費用支付標準、補助條件與金額及其他應遵行事項之辦法</w:t>
            </w:r>
            <w:r w:rsidRPr="00AF1EFD">
              <w:rPr>
                <w:rFonts w:ascii="標楷體" w:eastAsia="標楷體" w:hAnsi="標楷體" w:hint="eastAsia"/>
                <w:sz w:val="28"/>
                <w:szCs w:val="28"/>
              </w:rPr>
              <w:t>等事項，訂定辦法規範之。</w:t>
            </w:r>
          </w:p>
          <w:p w:rsidR="001B4D47" w:rsidRPr="00AF1EFD" w:rsidRDefault="001B4D47" w:rsidP="00BC0602">
            <w:pPr>
              <w:pStyle w:val="a7"/>
              <w:numPr>
                <w:ilvl w:val="0"/>
                <w:numId w:val="9"/>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第五項規定主管機關得隨時要求受託者報告並派員檢查。</w:t>
            </w:r>
          </w:p>
        </w:tc>
      </w:tr>
      <w:tr w:rsidR="00AF1EFD" w:rsidRPr="00AF1EFD" w:rsidTr="00536DD7">
        <w:tc>
          <w:tcPr>
            <w:tcW w:w="4501" w:type="dxa"/>
            <w:tcBorders>
              <w:top w:val="single" w:sz="12" w:space="0" w:color="auto"/>
              <w:left w:val="single" w:sz="12" w:space="0" w:color="auto"/>
              <w:bottom w:val="single" w:sz="12" w:space="0" w:color="auto"/>
              <w:right w:val="single" w:sz="12" w:space="0" w:color="auto"/>
            </w:tcBorders>
          </w:tcPr>
          <w:p w:rsidR="00E92EB5" w:rsidRPr="00AF1EFD" w:rsidRDefault="00E92EB5" w:rsidP="00E92EB5">
            <w:pPr>
              <w:snapToGrid w:val="0"/>
              <w:spacing w:beforeLines="50" w:before="180" w:afterLines="50" w:after="180" w:line="240" w:lineRule="atLeast"/>
              <w:jc w:val="center"/>
              <w:rPr>
                <w:rFonts w:ascii="標楷體" w:eastAsia="標楷體" w:hAnsi="標楷體"/>
                <w:b/>
                <w:sz w:val="28"/>
                <w:szCs w:val="28"/>
              </w:rPr>
            </w:pPr>
            <w:r w:rsidRPr="00AF1EFD">
              <w:rPr>
                <w:rFonts w:ascii="標楷體" w:eastAsia="標楷體" w:hAnsi="標楷體" w:hint="eastAsia"/>
                <w:b/>
                <w:sz w:val="28"/>
                <w:szCs w:val="28"/>
              </w:rPr>
              <w:lastRenderedPageBreak/>
              <w:t>第三章　調解</w:t>
            </w:r>
          </w:p>
        </w:tc>
        <w:tc>
          <w:tcPr>
            <w:tcW w:w="4502" w:type="dxa"/>
            <w:tcBorders>
              <w:top w:val="single" w:sz="12" w:space="0" w:color="auto"/>
              <w:left w:val="single" w:sz="12" w:space="0" w:color="auto"/>
              <w:bottom w:val="single" w:sz="12" w:space="0" w:color="auto"/>
              <w:right w:val="single" w:sz="12" w:space="0" w:color="auto"/>
            </w:tcBorders>
          </w:tcPr>
          <w:p w:rsidR="00E92EB5" w:rsidRPr="00AF1EFD" w:rsidRDefault="00102511" w:rsidP="00E92EB5">
            <w:pPr>
              <w:snapToGrid w:val="0"/>
              <w:spacing w:beforeLines="50" w:before="180" w:afterLines="50" w:after="180" w:line="240" w:lineRule="atLeast"/>
              <w:jc w:val="center"/>
              <w:rPr>
                <w:rFonts w:ascii="標楷體" w:eastAsia="標楷體" w:hAnsi="標楷體"/>
                <w:b/>
                <w:sz w:val="28"/>
                <w:szCs w:val="28"/>
              </w:rPr>
            </w:pPr>
            <w:r w:rsidRPr="00AF1EFD">
              <w:rPr>
                <w:rFonts w:ascii="標楷體" w:eastAsia="標楷體" w:hAnsi="標楷體"/>
                <w:b/>
                <w:sz w:val="28"/>
                <w:szCs w:val="28"/>
              </w:rPr>
              <w:t>章  名</w:t>
            </w:r>
          </w:p>
        </w:tc>
      </w:tr>
      <w:tr w:rsidR="00AF1EFD" w:rsidRPr="00AF1EFD" w:rsidTr="00536DD7">
        <w:tc>
          <w:tcPr>
            <w:tcW w:w="4501" w:type="dxa"/>
            <w:tcBorders>
              <w:top w:val="single" w:sz="12" w:space="0" w:color="auto"/>
            </w:tcBorders>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第八條　直轄市、縣（市）主管機關應設醫事爭議調解會（以下稱調解會），辦理所轄醫事人員、醫療機構與病人間醫事爭議之調解。</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當事人申請調解，得向其住（居）所地、醫療機構所在地或經雙方當事人合意之直轄市、縣（市）調解會為之。</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調解會之經費，由直轄市、縣（市）主管機關編入自治預算。</w:t>
            </w:r>
          </w:p>
        </w:tc>
        <w:tc>
          <w:tcPr>
            <w:tcW w:w="4502" w:type="dxa"/>
            <w:tcBorders>
              <w:top w:val="single" w:sz="12" w:space="0" w:color="auto"/>
            </w:tcBorders>
          </w:tcPr>
          <w:p w:rsidR="00A62A28" w:rsidRPr="00AF1EFD" w:rsidRDefault="00A62A28" w:rsidP="00BC0602">
            <w:pPr>
              <w:pStyle w:val="a7"/>
              <w:numPr>
                <w:ilvl w:val="0"/>
                <w:numId w:val="10"/>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第一項明定醫</w:t>
            </w:r>
            <w:r w:rsidR="00C56498">
              <w:rPr>
                <w:rFonts w:ascii="標楷體" w:eastAsia="標楷體" w:hAnsi="標楷體" w:hint="eastAsia"/>
                <w:sz w:val="28"/>
                <w:szCs w:val="28"/>
              </w:rPr>
              <w:t>事爭議</w:t>
            </w:r>
            <w:r w:rsidRPr="00AF1EFD">
              <w:rPr>
                <w:rFonts w:ascii="標楷體" w:eastAsia="標楷體" w:hAnsi="標楷體" w:hint="eastAsia"/>
                <w:sz w:val="28"/>
                <w:szCs w:val="28"/>
              </w:rPr>
              <w:t>事件之調解，由直轄市、縣（市）主管機關設醫</w:t>
            </w:r>
            <w:r w:rsidR="00C56498">
              <w:rPr>
                <w:rFonts w:ascii="標楷體" w:eastAsia="標楷體" w:hAnsi="標楷體" w:hint="eastAsia"/>
                <w:sz w:val="28"/>
                <w:szCs w:val="28"/>
              </w:rPr>
              <w:t>事</w:t>
            </w:r>
            <w:r w:rsidRPr="00AF1EFD">
              <w:rPr>
                <w:rFonts w:ascii="標楷體" w:eastAsia="標楷體" w:hAnsi="標楷體" w:hint="eastAsia"/>
                <w:sz w:val="28"/>
                <w:szCs w:val="28"/>
              </w:rPr>
              <w:t>爭議調解會為之。至於直轄市、縣（市）政府依醫療法第九十九條規定所設醫事審議委員會，其任務包含醫療機構設立或擴充之審議、醫療收費標準之審議等，與本條所定調解會之功能、任務範疇不同，該醫事審議會仍應存續。又醫</w:t>
            </w:r>
            <w:r w:rsidR="00C56498">
              <w:rPr>
                <w:rFonts w:ascii="標楷體" w:eastAsia="標楷體" w:hAnsi="標楷體" w:hint="eastAsia"/>
                <w:sz w:val="28"/>
                <w:szCs w:val="28"/>
              </w:rPr>
              <w:t>事爭議</w:t>
            </w:r>
            <w:r w:rsidRPr="00AF1EFD">
              <w:rPr>
                <w:rFonts w:ascii="標楷體" w:eastAsia="標楷體" w:hAnsi="標楷體" w:hint="eastAsia"/>
                <w:sz w:val="28"/>
                <w:szCs w:val="28"/>
              </w:rPr>
              <w:t>事件，當事人如未依前章規定先與醫療機構進行說明或溝通等事宜，亦可依</w:t>
            </w:r>
            <w:r w:rsidRPr="00AF1EFD">
              <w:rPr>
                <w:rFonts w:ascii="標楷體" w:eastAsia="標楷體" w:hAnsi="標楷體" w:hint="eastAsia"/>
                <w:sz w:val="28"/>
                <w:szCs w:val="28"/>
              </w:rPr>
              <w:lastRenderedPageBreak/>
              <w:t>本章規定逕予申請調解。</w:t>
            </w:r>
          </w:p>
          <w:p w:rsidR="00E92EB5" w:rsidRPr="00AF1EFD" w:rsidRDefault="00A62A28" w:rsidP="00BC0602">
            <w:pPr>
              <w:pStyle w:val="a7"/>
              <w:numPr>
                <w:ilvl w:val="0"/>
                <w:numId w:val="10"/>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第二項明定當事人申請調解，應向醫療機構所在地之直轄市、縣（市）調解會為之。</w:t>
            </w:r>
          </w:p>
          <w:p w:rsidR="000C5DEF" w:rsidRPr="00AF1EFD" w:rsidRDefault="000C5DEF" w:rsidP="00BC0602">
            <w:pPr>
              <w:pStyle w:val="a7"/>
              <w:numPr>
                <w:ilvl w:val="0"/>
                <w:numId w:val="10"/>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sz w:val="28"/>
                <w:szCs w:val="28"/>
              </w:rPr>
              <w:t>調解會之經費應編入</w:t>
            </w:r>
            <w:r w:rsidR="00C43FC5" w:rsidRPr="00AF1EFD">
              <w:rPr>
                <w:rFonts w:ascii="標楷體" w:eastAsia="標楷體" w:hAnsi="標楷體" w:hint="eastAsia"/>
                <w:sz w:val="28"/>
                <w:szCs w:val="28"/>
              </w:rPr>
              <w:t>直轄市、縣（市）政府</w:t>
            </w:r>
            <w:r w:rsidRPr="00AF1EFD">
              <w:rPr>
                <w:rFonts w:ascii="標楷體" w:eastAsia="標楷體" w:hAnsi="標楷體"/>
                <w:sz w:val="28"/>
                <w:szCs w:val="28"/>
              </w:rPr>
              <w:t>每年之公務預算內，遂明</w:t>
            </w:r>
            <w:r w:rsidR="00C56498" w:rsidRPr="00AF1EFD">
              <w:rPr>
                <w:rFonts w:ascii="標楷體" w:eastAsia="標楷體" w:hAnsi="標楷體" w:hint="eastAsia"/>
                <w:sz w:val="28"/>
                <w:szCs w:val="28"/>
              </w:rPr>
              <w:t>定</w:t>
            </w:r>
            <w:r w:rsidRPr="00AF1EFD">
              <w:rPr>
                <w:rFonts w:ascii="標楷體" w:eastAsia="標楷體" w:hAnsi="標楷體"/>
                <w:sz w:val="28"/>
                <w:szCs w:val="28"/>
              </w:rPr>
              <w:t>第三項。</w:t>
            </w:r>
          </w:p>
        </w:tc>
      </w:tr>
      <w:tr w:rsidR="00AF1EFD" w:rsidRPr="00AF1EFD" w:rsidTr="00536DD7">
        <w:tc>
          <w:tcPr>
            <w:tcW w:w="4501" w:type="dxa"/>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lastRenderedPageBreak/>
              <w:t>第九條　調解會應由具有醫學、法律或其他具專業知識及信望素孚之公正人士九人至二十七人組成之；其中醫學以外之委員，不得少於三分之一。</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調解委員聘期為三年，並得連任之；聘期中出缺時，得予補聘，期間至原聘期屆滿為止。</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調解會並得聘請心理輔導、社工、志工或其他人員協助調解。</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中央主管機關應編列預算，辦理調解人員之教育訓練</w:t>
            </w:r>
            <w:r w:rsidRPr="00C56498">
              <w:rPr>
                <w:rFonts w:ascii="標楷體" w:eastAsia="標楷體" w:hAnsi="標楷體" w:hint="eastAsia"/>
                <w:sz w:val="28"/>
                <w:szCs w:val="28"/>
              </w:rPr>
              <w:t>；</w:t>
            </w:r>
            <w:r w:rsidRPr="00AF1EFD">
              <w:rPr>
                <w:rFonts w:ascii="標楷體" w:eastAsia="標楷體" w:hAnsi="標楷體" w:hint="eastAsia"/>
                <w:sz w:val="28"/>
                <w:szCs w:val="28"/>
              </w:rPr>
              <w:t>其相關事項之辦法，由中央主管機關定之。</w:t>
            </w:r>
          </w:p>
        </w:tc>
        <w:tc>
          <w:tcPr>
            <w:tcW w:w="4502" w:type="dxa"/>
          </w:tcPr>
          <w:p w:rsidR="00703541" w:rsidRPr="00AF1EFD" w:rsidRDefault="00703541" w:rsidP="00BC0602">
            <w:pPr>
              <w:pStyle w:val="a7"/>
              <w:numPr>
                <w:ilvl w:val="0"/>
                <w:numId w:val="11"/>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第一項</w:t>
            </w:r>
            <w:r w:rsidR="003F4EB9" w:rsidRPr="00AF1EFD">
              <w:rPr>
                <w:rFonts w:ascii="標楷體" w:eastAsia="標楷體" w:hAnsi="標楷體" w:hint="eastAsia"/>
                <w:sz w:val="28"/>
                <w:szCs w:val="28"/>
              </w:rPr>
              <w:t>及第二項</w:t>
            </w:r>
            <w:r w:rsidR="00C56498" w:rsidRPr="00AF1EFD">
              <w:rPr>
                <w:rFonts w:ascii="標楷體" w:eastAsia="標楷體" w:hAnsi="標楷體" w:hint="eastAsia"/>
                <w:sz w:val="28"/>
                <w:szCs w:val="28"/>
              </w:rPr>
              <w:t>定</w:t>
            </w:r>
            <w:r w:rsidRPr="00AF1EFD">
              <w:rPr>
                <w:rFonts w:ascii="標楷體" w:eastAsia="標楷體" w:hAnsi="標楷體" w:hint="eastAsia"/>
                <w:sz w:val="28"/>
                <w:szCs w:val="28"/>
              </w:rPr>
              <w:t>明調解會組成人員資格</w:t>
            </w:r>
            <w:r w:rsidR="003F4EB9" w:rsidRPr="00AF1EFD">
              <w:rPr>
                <w:rFonts w:ascii="標楷體" w:eastAsia="標楷體" w:hAnsi="標楷體" w:hint="eastAsia"/>
                <w:sz w:val="28"/>
                <w:szCs w:val="28"/>
              </w:rPr>
              <w:t>、</w:t>
            </w:r>
            <w:r w:rsidRPr="00AF1EFD">
              <w:rPr>
                <w:rFonts w:ascii="標楷體" w:eastAsia="標楷體" w:hAnsi="標楷體" w:hint="eastAsia"/>
                <w:sz w:val="28"/>
                <w:szCs w:val="28"/>
              </w:rPr>
              <w:t>人數</w:t>
            </w:r>
            <w:r w:rsidR="003F4EB9" w:rsidRPr="00AF1EFD">
              <w:rPr>
                <w:rFonts w:ascii="標楷體" w:eastAsia="標楷體" w:hAnsi="標楷體" w:hint="eastAsia"/>
                <w:sz w:val="28"/>
                <w:szCs w:val="28"/>
              </w:rPr>
              <w:t>及聘期</w:t>
            </w:r>
            <w:r w:rsidRPr="00AF1EFD">
              <w:rPr>
                <w:rFonts w:ascii="標楷體" w:eastAsia="標楷體" w:hAnsi="標楷體" w:hint="eastAsia"/>
                <w:sz w:val="28"/>
                <w:szCs w:val="28"/>
              </w:rPr>
              <w:t>。</w:t>
            </w:r>
          </w:p>
          <w:p w:rsidR="00703541" w:rsidRPr="00AF1EFD" w:rsidRDefault="003F4EB9" w:rsidP="00BC0602">
            <w:pPr>
              <w:pStyle w:val="a7"/>
              <w:numPr>
                <w:ilvl w:val="0"/>
                <w:numId w:val="11"/>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定明調解會得聘請</w:t>
            </w:r>
            <w:r w:rsidR="00703541" w:rsidRPr="00AF1EFD">
              <w:rPr>
                <w:rFonts w:ascii="標楷體" w:eastAsia="標楷體" w:hAnsi="標楷體" w:hint="eastAsia"/>
                <w:sz w:val="28"/>
                <w:szCs w:val="28"/>
              </w:rPr>
              <w:t>心理輔導等人員</w:t>
            </w:r>
            <w:r w:rsidRPr="00AF1EFD">
              <w:rPr>
                <w:rFonts w:ascii="標楷體" w:eastAsia="標楷體" w:hAnsi="標楷體" w:hint="eastAsia"/>
                <w:sz w:val="28"/>
                <w:szCs w:val="28"/>
              </w:rPr>
              <w:t>協助</w:t>
            </w:r>
            <w:r w:rsidR="00703541" w:rsidRPr="00AF1EFD">
              <w:rPr>
                <w:rFonts w:ascii="標楷體" w:eastAsia="標楷體" w:hAnsi="標楷體" w:hint="eastAsia"/>
                <w:sz w:val="28"/>
                <w:szCs w:val="28"/>
              </w:rPr>
              <w:t>，以促進調解成立。</w:t>
            </w:r>
          </w:p>
          <w:p w:rsidR="00703541" w:rsidRPr="00AF1EFD" w:rsidRDefault="00703541" w:rsidP="00BC0602">
            <w:pPr>
              <w:pStyle w:val="a7"/>
              <w:numPr>
                <w:ilvl w:val="0"/>
                <w:numId w:val="11"/>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w:t>
            </w:r>
            <w:r w:rsidR="003F4EB9" w:rsidRPr="00AF1EFD">
              <w:rPr>
                <w:rFonts w:ascii="標楷體" w:eastAsia="標楷體" w:hAnsi="標楷體" w:hint="eastAsia"/>
                <w:sz w:val="28"/>
                <w:szCs w:val="28"/>
              </w:rPr>
              <w:t>四</w:t>
            </w:r>
            <w:r w:rsidRPr="00AF1EFD">
              <w:rPr>
                <w:rFonts w:ascii="標楷體" w:eastAsia="標楷體" w:hAnsi="標楷體" w:hint="eastAsia"/>
                <w:sz w:val="28"/>
                <w:szCs w:val="28"/>
              </w:rPr>
              <w:t>項</w:t>
            </w:r>
            <w:r w:rsidR="00C56498" w:rsidRPr="00AF1EFD">
              <w:rPr>
                <w:rFonts w:ascii="標楷體" w:eastAsia="標楷體" w:hAnsi="標楷體" w:hint="eastAsia"/>
                <w:sz w:val="28"/>
                <w:szCs w:val="28"/>
              </w:rPr>
              <w:t>定</w:t>
            </w:r>
            <w:r w:rsidRPr="00AF1EFD">
              <w:rPr>
                <w:rFonts w:ascii="標楷體" w:eastAsia="標楷體" w:hAnsi="標楷體" w:hint="eastAsia"/>
                <w:sz w:val="28"/>
                <w:szCs w:val="28"/>
              </w:rPr>
              <w:t>明有關調解會之人員組成、任期、運作及訓練等事項之辦法，授權由中央主管機關定之。有關調解會組成及其運作，說明如下：</w:t>
            </w:r>
          </w:p>
          <w:p w:rsidR="00703541" w:rsidRPr="00AF1EFD" w:rsidRDefault="00703541" w:rsidP="00BC0602">
            <w:pPr>
              <w:pStyle w:val="a7"/>
              <w:numPr>
                <w:ilvl w:val="0"/>
                <w:numId w:val="12"/>
              </w:numPr>
              <w:snapToGrid w:val="0"/>
              <w:spacing w:beforeLines="50" w:before="180" w:afterLines="50" w:after="180" w:line="240" w:lineRule="atLeast"/>
              <w:ind w:leftChars="0" w:left="744" w:hanging="850"/>
              <w:jc w:val="both"/>
              <w:rPr>
                <w:rFonts w:ascii="標楷體" w:eastAsia="標楷體" w:hAnsi="標楷體"/>
                <w:sz w:val="28"/>
                <w:szCs w:val="28"/>
              </w:rPr>
            </w:pPr>
            <w:r w:rsidRPr="00AF1EFD">
              <w:rPr>
                <w:rFonts w:ascii="標楷體" w:eastAsia="標楷體" w:hAnsi="標楷體" w:hint="eastAsia"/>
                <w:sz w:val="28"/>
                <w:szCs w:val="28"/>
              </w:rPr>
              <w:t>直轄市、縣（市）主管機關辦理遴聘調解委員，原則將請司法機關推薦。</w:t>
            </w:r>
          </w:p>
          <w:p w:rsidR="00703541" w:rsidRPr="00AF1EFD" w:rsidRDefault="00703541" w:rsidP="00BC0602">
            <w:pPr>
              <w:pStyle w:val="a7"/>
              <w:numPr>
                <w:ilvl w:val="0"/>
                <w:numId w:val="12"/>
              </w:numPr>
              <w:snapToGrid w:val="0"/>
              <w:spacing w:beforeLines="50" w:before="180" w:afterLines="50" w:after="180" w:line="240" w:lineRule="atLeast"/>
              <w:ind w:leftChars="0" w:left="744" w:hanging="850"/>
              <w:jc w:val="both"/>
              <w:rPr>
                <w:rFonts w:ascii="標楷體" w:eastAsia="標楷體" w:hAnsi="標楷體"/>
                <w:sz w:val="28"/>
                <w:szCs w:val="28"/>
              </w:rPr>
            </w:pPr>
            <w:r w:rsidRPr="00AF1EFD">
              <w:rPr>
                <w:rFonts w:ascii="標楷體" w:eastAsia="標楷體" w:hAnsi="標楷體" w:hint="eastAsia"/>
                <w:sz w:val="28"/>
                <w:szCs w:val="28"/>
              </w:rPr>
              <w:t>基於提升調解成功率，避免直轄市、縣（市）調解會運作品質及成效差異過大，規劃調解委員應經訓練講習，方得擔任。</w:t>
            </w:r>
          </w:p>
          <w:p w:rsidR="00703541" w:rsidRPr="00AF1EFD" w:rsidRDefault="00703541" w:rsidP="00BC0602">
            <w:pPr>
              <w:pStyle w:val="a7"/>
              <w:numPr>
                <w:ilvl w:val="0"/>
                <w:numId w:val="12"/>
              </w:numPr>
              <w:snapToGrid w:val="0"/>
              <w:spacing w:beforeLines="50" w:before="180" w:afterLines="50" w:after="180" w:line="240" w:lineRule="atLeast"/>
              <w:ind w:leftChars="0" w:left="744" w:hanging="850"/>
              <w:jc w:val="both"/>
              <w:rPr>
                <w:rFonts w:ascii="標楷體" w:eastAsia="標楷體" w:hAnsi="標楷體"/>
                <w:sz w:val="28"/>
                <w:szCs w:val="28"/>
              </w:rPr>
            </w:pPr>
            <w:r w:rsidRPr="00AF1EFD">
              <w:rPr>
                <w:rFonts w:ascii="標楷體" w:eastAsia="標楷體" w:hAnsi="標楷體" w:hint="eastAsia"/>
                <w:sz w:val="28"/>
                <w:szCs w:val="28"/>
              </w:rPr>
              <w:t>目前調解成功率較高之地方醫事審議委員會，多係採取醫事調解委員搭配法律或公正人士調解委員處理調解，並要求當事人不得錄音，亦將考量納入。</w:t>
            </w:r>
          </w:p>
          <w:p w:rsidR="00E92EB5" w:rsidRPr="00AF1EFD" w:rsidRDefault="00703541" w:rsidP="00BC0602">
            <w:pPr>
              <w:pStyle w:val="a7"/>
              <w:numPr>
                <w:ilvl w:val="0"/>
                <w:numId w:val="12"/>
              </w:numPr>
              <w:snapToGrid w:val="0"/>
              <w:spacing w:beforeLines="50" w:before="180" w:afterLines="50" w:after="180" w:line="240" w:lineRule="atLeast"/>
              <w:ind w:leftChars="0" w:left="744" w:hanging="850"/>
              <w:jc w:val="both"/>
              <w:rPr>
                <w:rFonts w:ascii="標楷體" w:eastAsia="標楷體" w:hAnsi="標楷體"/>
                <w:sz w:val="28"/>
                <w:szCs w:val="28"/>
              </w:rPr>
            </w:pPr>
            <w:r w:rsidRPr="00AF1EFD">
              <w:rPr>
                <w:rFonts w:ascii="標楷體" w:eastAsia="標楷體" w:hAnsi="標楷體" w:hint="eastAsia"/>
                <w:sz w:val="28"/>
                <w:szCs w:val="28"/>
              </w:rPr>
              <w:t>調解不成立時，當事人如合意申請仲裁，得依現行仲裁法規定進行仲裁。為使病人或家屬</w:t>
            </w:r>
            <w:r w:rsidRPr="00AF1EFD">
              <w:rPr>
                <w:rFonts w:ascii="標楷體" w:eastAsia="標楷體" w:hAnsi="標楷體" w:hint="eastAsia"/>
                <w:sz w:val="28"/>
                <w:szCs w:val="28"/>
              </w:rPr>
              <w:lastRenderedPageBreak/>
              <w:t>獲得、瞭解更多訴訟外解決糾紛途徑，考量將現行相關解決紛爭，包含前述仲裁程序，納入規範。</w:t>
            </w:r>
          </w:p>
        </w:tc>
      </w:tr>
      <w:tr w:rsidR="00AF1EFD" w:rsidRPr="00AF1EFD" w:rsidTr="00536DD7">
        <w:tc>
          <w:tcPr>
            <w:tcW w:w="4501" w:type="dxa"/>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lastRenderedPageBreak/>
              <w:t>第十條　醫事爭議事件之調解，應於受理日起三個月內完成；必要時，得延長三個月，並以一次為限。</w:t>
            </w:r>
          </w:p>
        </w:tc>
        <w:tc>
          <w:tcPr>
            <w:tcW w:w="4502" w:type="dxa"/>
          </w:tcPr>
          <w:p w:rsidR="00E92EB5" w:rsidRPr="00AF1EFD" w:rsidRDefault="009659EE" w:rsidP="009659EE">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明定醫事爭議事件之調解期限及其延長規定。</w:t>
            </w:r>
          </w:p>
        </w:tc>
      </w:tr>
      <w:tr w:rsidR="00AF1EFD" w:rsidRPr="00AF1EFD" w:rsidTr="00536DD7">
        <w:tc>
          <w:tcPr>
            <w:tcW w:w="4501" w:type="dxa"/>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第十一條　病人、家屬或其他依法得提起民事訴訟之人，於醫事爭議事件發生後，未依本法申請調解者，不得提起該醫事爭議事件之民事訴訟。</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未依前項規定申請調解逕行起訴者，法院應移付管轄之調解會先行調解。</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時效依第八條第二項規定申請調解而中斷者，於調解不成立後六個月內未起訴者，視為不中斷。</w:t>
            </w:r>
          </w:p>
        </w:tc>
        <w:tc>
          <w:tcPr>
            <w:tcW w:w="4502" w:type="dxa"/>
          </w:tcPr>
          <w:p w:rsidR="009F0BC1" w:rsidRPr="00AF1EFD" w:rsidRDefault="009659EE" w:rsidP="00BC0602">
            <w:pPr>
              <w:pStyle w:val="a7"/>
              <w:numPr>
                <w:ilvl w:val="0"/>
                <w:numId w:val="13"/>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第一項明定病人或其他依法得提起民事訴訟之人，未依</w:t>
            </w:r>
            <w:r w:rsidR="009F0BC1" w:rsidRPr="00AF1EFD">
              <w:rPr>
                <w:rFonts w:ascii="標楷體" w:eastAsia="標楷體" w:hAnsi="標楷體" w:hint="eastAsia"/>
                <w:sz w:val="28"/>
                <w:szCs w:val="28"/>
              </w:rPr>
              <w:t>本</w:t>
            </w:r>
            <w:r w:rsidRPr="00AF1EFD">
              <w:rPr>
                <w:rFonts w:ascii="標楷體" w:eastAsia="標楷體" w:hAnsi="標楷體" w:hint="eastAsia"/>
                <w:sz w:val="28"/>
                <w:szCs w:val="28"/>
              </w:rPr>
              <w:t>法申請調解者，不得提起醫療</w:t>
            </w:r>
            <w:r w:rsidR="00C56498">
              <w:rPr>
                <w:rFonts w:ascii="標楷體" w:eastAsia="標楷體" w:hAnsi="標楷體" w:hint="eastAsia"/>
                <w:sz w:val="28"/>
                <w:szCs w:val="28"/>
              </w:rPr>
              <w:t>爭議</w:t>
            </w:r>
            <w:r w:rsidRPr="00AF1EFD">
              <w:rPr>
                <w:rFonts w:ascii="標楷體" w:eastAsia="標楷體" w:hAnsi="標楷體" w:hint="eastAsia"/>
                <w:sz w:val="28"/>
                <w:szCs w:val="28"/>
              </w:rPr>
              <w:t>事件之民事訴訟，以減少訟源及社會成本支出，緩和醫病對立關係。</w:t>
            </w:r>
          </w:p>
          <w:p w:rsidR="00E92EB5" w:rsidRPr="00AF1EFD" w:rsidRDefault="009659EE" w:rsidP="00BC0602">
            <w:pPr>
              <w:pStyle w:val="a7"/>
              <w:numPr>
                <w:ilvl w:val="0"/>
                <w:numId w:val="13"/>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未依法申請調解逕行起訴者，於第二項明定法院應裁定移付管轄之調解會先行調解。</w:t>
            </w:r>
          </w:p>
          <w:p w:rsidR="00396591" w:rsidRPr="00AF1EFD" w:rsidRDefault="00396591" w:rsidP="00C56498">
            <w:pPr>
              <w:pStyle w:val="a7"/>
              <w:numPr>
                <w:ilvl w:val="0"/>
                <w:numId w:val="13"/>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謹按依</w:t>
            </w:r>
            <w:r w:rsidR="003B5217" w:rsidRPr="00AF1EFD">
              <w:rPr>
                <w:rFonts w:ascii="標楷體" w:eastAsia="標楷體" w:hAnsi="標楷體" w:hint="eastAsia"/>
                <w:sz w:val="28"/>
                <w:szCs w:val="28"/>
              </w:rPr>
              <w:t>第八</w:t>
            </w:r>
            <w:r w:rsidRPr="00AF1EFD">
              <w:rPr>
                <w:rFonts w:ascii="標楷體" w:eastAsia="標楷體" w:hAnsi="標楷體" w:hint="eastAsia"/>
                <w:sz w:val="28"/>
                <w:szCs w:val="28"/>
              </w:rPr>
              <w:t>條</w:t>
            </w:r>
            <w:r w:rsidR="003B5217" w:rsidRPr="00AF1EFD">
              <w:rPr>
                <w:rFonts w:ascii="標楷體" w:eastAsia="標楷體" w:hAnsi="標楷體" w:hint="eastAsia"/>
                <w:sz w:val="28"/>
                <w:szCs w:val="28"/>
              </w:rPr>
              <w:t>第二項</w:t>
            </w:r>
            <w:r w:rsidRPr="00AF1EFD">
              <w:rPr>
                <w:rFonts w:ascii="標楷體" w:eastAsia="標楷體" w:hAnsi="標楷體" w:hint="eastAsia"/>
                <w:sz w:val="28"/>
                <w:szCs w:val="28"/>
              </w:rPr>
              <w:t>之規定，消滅時效，因權利人之請求，而中斷固矣。</w:t>
            </w:r>
            <w:r w:rsidR="00C56498">
              <w:rPr>
                <w:rFonts w:ascii="標楷體" w:eastAsia="標楷體" w:hAnsi="標楷體" w:hint="eastAsia"/>
                <w:sz w:val="28"/>
                <w:szCs w:val="28"/>
              </w:rPr>
              <w:t>為保護相對人，</w:t>
            </w:r>
            <w:r w:rsidRPr="00AF1EFD">
              <w:rPr>
                <w:rFonts w:ascii="標楷體" w:eastAsia="標楷體" w:hAnsi="標楷體" w:hint="eastAsia"/>
                <w:sz w:val="28"/>
                <w:szCs w:val="28"/>
              </w:rPr>
              <w:t>若</w:t>
            </w:r>
            <w:r w:rsidR="00C56498" w:rsidRPr="00AF1EFD">
              <w:rPr>
                <w:rFonts w:ascii="標楷體" w:eastAsia="標楷體" w:hAnsi="標楷體" w:hint="eastAsia"/>
                <w:sz w:val="28"/>
                <w:szCs w:val="28"/>
              </w:rPr>
              <w:t>權利人</w:t>
            </w:r>
            <w:r w:rsidRPr="00AF1EFD">
              <w:rPr>
                <w:rFonts w:ascii="標楷體" w:eastAsia="標楷體" w:hAnsi="標楷體" w:hint="eastAsia"/>
                <w:sz w:val="28"/>
                <w:szCs w:val="28"/>
              </w:rPr>
              <w:t>請求後，而不於六個月內起訴者，則仍與不請求同，其時效視為不中斷。</w:t>
            </w:r>
          </w:p>
        </w:tc>
      </w:tr>
      <w:tr w:rsidR="00AF1EFD" w:rsidRPr="00AF1EFD" w:rsidTr="00536DD7">
        <w:tc>
          <w:tcPr>
            <w:tcW w:w="4501" w:type="dxa"/>
          </w:tcPr>
          <w:p w:rsidR="00E92EB5" w:rsidRPr="00AF1EFD" w:rsidRDefault="00E92EB5" w:rsidP="00E92EB5">
            <w:pPr>
              <w:snapToGrid w:val="0"/>
              <w:spacing w:beforeLines="50" w:before="180" w:afterLines="50" w:after="180" w:line="240" w:lineRule="atLeast"/>
              <w:ind w:left="418" w:hanging="425"/>
              <w:jc w:val="both"/>
              <w:rPr>
                <w:rFonts w:ascii="標楷體" w:eastAsia="標楷體" w:hAnsi="標楷體"/>
                <w:sz w:val="28"/>
                <w:szCs w:val="28"/>
              </w:rPr>
            </w:pPr>
            <w:r w:rsidRPr="00AF1EFD">
              <w:rPr>
                <w:rFonts w:ascii="標楷體" w:eastAsia="標楷體" w:hAnsi="標楷體" w:hint="eastAsia"/>
                <w:sz w:val="28"/>
                <w:szCs w:val="28"/>
              </w:rPr>
              <w:t>第十二條　檢察官偵查或法院審理屬告訴乃論之醫事爭議案件，應函請或移付其管轄之調解會先行調解。但經被害人、告訴人或自訴人明示不同意者，不在此限。</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前項函請或移付調解前，應通知被害人、告訴人或自訴人。</w:t>
            </w:r>
          </w:p>
        </w:tc>
        <w:tc>
          <w:tcPr>
            <w:tcW w:w="4502" w:type="dxa"/>
          </w:tcPr>
          <w:p w:rsidR="003B5217" w:rsidRPr="00AF1EFD" w:rsidRDefault="003B5217" w:rsidP="00BC0602">
            <w:pPr>
              <w:pStyle w:val="a7"/>
              <w:numPr>
                <w:ilvl w:val="0"/>
                <w:numId w:val="14"/>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檢察官或法院對於偵審中醫</w:t>
            </w:r>
            <w:r w:rsidR="00C56498">
              <w:rPr>
                <w:rFonts w:ascii="標楷體" w:eastAsia="標楷體" w:hAnsi="標楷體" w:hint="eastAsia"/>
                <w:sz w:val="28"/>
                <w:szCs w:val="28"/>
              </w:rPr>
              <w:t>事爭議</w:t>
            </w:r>
            <w:r w:rsidRPr="00AF1EFD">
              <w:rPr>
                <w:rFonts w:ascii="標楷體" w:eastAsia="標楷體" w:hAnsi="標楷體" w:hint="eastAsia"/>
                <w:sz w:val="28"/>
                <w:szCs w:val="28"/>
              </w:rPr>
              <w:t>刑事事件，應函請或移付管轄之直轄市、縣（市）調解會，使病人與醫療機構在專業、客觀之調解會進行協調溝通，達到促進病人瞭解真相、獲得撫慰或賠償權益之保障。惟調解程序，係為達成民事賠償或補償之目的，與當事人有無意願攸關至鉅，如被害人、告訴人或自訴人明示不同意時，</w:t>
            </w:r>
            <w:r w:rsidRPr="00AF1EFD">
              <w:rPr>
                <w:rFonts w:ascii="標楷體" w:eastAsia="標楷體" w:hAnsi="標楷體" w:hint="eastAsia"/>
                <w:sz w:val="28"/>
                <w:szCs w:val="28"/>
              </w:rPr>
              <w:lastRenderedPageBreak/>
              <w:t>為免徒費程序，檢察官或法院即可不移送調解。所稱管轄之調解會，指依第八條第二項規定醫療機構所在地之直轄市、縣（市）調解會。</w:t>
            </w:r>
          </w:p>
          <w:p w:rsidR="00E92EB5" w:rsidRPr="00AF1EFD" w:rsidRDefault="00730C4B" w:rsidP="00BC0602">
            <w:pPr>
              <w:pStyle w:val="a7"/>
              <w:numPr>
                <w:ilvl w:val="0"/>
                <w:numId w:val="14"/>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為告知</w:t>
            </w:r>
            <w:r w:rsidR="000406EA" w:rsidRPr="00AF1EFD">
              <w:rPr>
                <w:rFonts w:ascii="標楷體" w:eastAsia="標楷體" w:hAnsi="標楷體" w:hint="eastAsia"/>
                <w:sz w:val="28"/>
                <w:szCs w:val="28"/>
              </w:rPr>
              <w:t>被害人、告訴人或自訴人函請或移付調解</w:t>
            </w:r>
            <w:r w:rsidRPr="00AF1EFD">
              <w:rPr>
                <w:rFonts w:ascii="標楷體" w:eastAsia="標楷體" w:hAnsi="標楷體" w:hint="eastAsia"/>
                <w:sz w:val="28"/>
                <w:szCs w:val="28"/>
              </w:rPr>
              <w:t>程序，於第二項明定</w:t>
            </w:r>
            <w:r w:rsidR="000406EA" w:rsidRPr="00AF1EFD">
              <w:rPr>
                <w:rFonts w:ascii="標楷體" w:eastAsia="標楷體" w:hAnsi="標楷體" w:hint="eastAsia"/>
                <w:sz w:val="28"/>
                <w:szCs w:val="28"/>
              </w:rPr>
              <w:t>之</w:t>
            </w:r>
            <w:r w:rsidRPr="00AF1EFD">
              <w:rPr>
                <w:rFonts w:ascii="標楷體" w:eastAsia="標楷體" w:hAnsi="標楷體" w:hint="eastAsia"/>
                <w:sz w:val="28"/>
                <w:szCs w:val="28"/>
              </w:rPr>
              <w:t>。</w:t>
            </w:r>
          </w:p>
        </w:tc>
      </w:tr>
      <w:tr w:rsidR="00AF1EFD" w:rsidRPr="00AF1EFD" w:rsidTr="00536DD7">
        <w:tc>
          <w:tcPr>
            <w:tcW w:w="4501" w:type="dxa"/>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lastRenderedPageBreak/>
              <w:t>第十三條　醫事爭議事件調解申請書，應載明下列事項：</w:t>
            </w:r>
          </w:p>
          <w:p w:rsidR="00E92EB5" w:rsidRPr="00AF1EFD" w:rsidRDefault="00E92EB5" w:rsidP="00BC0602">
            <w:pPr>
              <w:pStyle w:val="a7"/>
              <w:numPr>
                <w:ilvl w:val="0"/>
                <w:numId w:val="2"/>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當事人姓名、性別、出生年月日、國民身分證統一編號、住所或居所；當事人為醫療機構者，其名稱、負責人及機構所在地；申請當事人非病人本人者，其與病人之關係。</w:t>
            </w:r>
          </w:p>
          <w:p w:rsidR="00E92EB5" w:rsidRPr="00AF1EFD" w:rsidRDefault="00E92EB5" w:rsidP="00BC0602">
            <w:pPr>
              <w:pStyle w:val="a7"/>
              <w:numPr>
                <w:ilvl w:val="0"/>
                <w:numId w:val="2"/>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有法定代理人或代理人者，其姓名、國民身分證統一編號、住所或居所。</w:t>
            </w:r>
          </w:p>
          <w:p w:rsidR="00E92EB5" w:rsidRPr="00AF1EFD" w:rsidRDefault="00E92EB5" w:rsidP="00BC0602">
            <w:pPr>
              <w:pStyle w:val="a7"/>
              <w:numPr>
                <w:ilvl w:val="0"/>
                <w:numId w:val="2"/>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醫事爭議事件之事實要點及相關資料。</w:t>
            </w:r>
          </w:p>
          <w:p w:rsidR="00E92EB5" w:rsidRPr="00AF1EFD" w:rsidRDefault="00E92EB5" w:rsidP="00BC0602">
            <w:pPr>
              <w:pStyle w:val="a7"/>
              <w:numPr>
                <w:ilvl w:val="0"/>
                <w:numId w:val="2"/>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調解事項。</w:t>
            </w:r>
          </w:p>
          <w:p w:rsidR="00E92EB5" w:rsidRPr="00AF1EFD" w:rsidRDefault="00E92EB5" w:rsidP="00BC0602">
            <w:pPr>
              <w:pStyle w:val="a7"/>
              <w:numPr>
                <w:ilvl w:val="0"/>
                <w:numId w:val="2"/>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有申請評析者，其評析。</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調解申請書不符合前項規定者，直轄市、縣（市）調解會得定期間命申請當事人補正。</w:t>
            </w:r>
          </w:p>
        </w:tc>
        <w:tc>
          <w:tcPr>
            <w:tcW w:w="4502" w:type="dxa"/>
          </w:tcPr>
          <w:p w:rsidR="00E92EB5" w:rsidRPr="00AF1EFD" w:rsidRDefault="000406EA" w:rsidP="000406EA">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明定醫</w:t>
            </w:r>
            <w:r w:rsidR="00C56498">
              <w:rPr>
                <w:rFonts w:ascii="標楷體" w:eastAsia="標楷體" w:hAnsi="標楷體" w:hint="eastAsia"/>
                <w:sz w:val="28"/>
                <w:szCs w:val="28"/>
              </w:rPr>
              <w:t>事</w:t>
            </w:r>
            <w:r w:rsidRPr="00AF1EFD">
              <w:rPr>
                <w:rFonts w:ascii="標楷體" w:eastAsia="標楷體" w:hAnsi="標楷體" w:hint="eastAsia"/>
                <w:sz w:val="28"/>
                <w:szCs w:val="28"/>
              </w:rPr>
              <w:t>爭議調解申請書應載明事項及命補正相關規定。</w:t>
            </w:r>
          </w:p>
        </w:tc>
      </w:tr>
      <w:tr w:rsidR="00AF1EFD" w:rsidRPr="00AF1EFD" w:rsidTr="00536DD7">
        <w:tc>
          <w:tcPr>
            <w:tcW w:w="4501" w:type="dxa"/>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第十四條　調解會接受調解申請書後，應於七個工作日內通知雙方當事人出席調解。</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醫事人員或醫療機構得請求調解會通知他方當事人提出</w:t>
            </w:r>
            <w:r w:rsidRPr="00AF1EFD">
              <w:rPr>
                <w:rFonts w:ascii="標楷體" w:eastAsia="標楷體" w:hAnsi="標楷體" w:hint="eastAsia"/>
                <w:sz w:val="28"/>
                <w:szCs w:val="28"/>
              </w:rPr>
              <w:lastRenderedPageBreak/>
              <w:t>有關本案得為民事請求權人之名冊及連絡方式，供調解會使用。</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就調解事件有利害關係之第三人，經調解會同意，得參加調解程序。</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同一原因事實之醫事爭議事件，一方當事人分別與多數之他方當事人進行調解時，調解會得予併案調解。</w:t>
            </w:r>
          </w:p>
        </w:tc>
        <w:tc>
          <w:tcPr>
            <w:tcW w:w="4502" w:type="dxa"/>
          </w:tcPr>
          <w:p w:rsidR="00E92EB5" w:rsidRPr="00AF1EFD" w:rsidRDefault="008676E1" w:rsidP="00BC0602">
            <w:pPr>
              <w:pStyle w:val="a7"/>
              <w:numPr>
                <w:ilvl w:val="0"/>
                <w:numId w:val="15"/>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sz w:val="28"/>
                <w:szCs w:val="28"/>
              </w:rPr>
              <w:lastRenderedPageBreak/>
              <w:t>明訂</w:t>
            </w:r>
            <w:r w:rsidR="006C57BD" w:rsidRPr="00AF1EFD">
              <w:rPr>
                <w:rFonts w:ascii="標楷體" w:eastAsia="標楷體" w:hAnsi="標楷體"/>
                <w:sz w:val="28"/>
                <w:szCs w:val="28"/>
              </w:rPr>
              <w:t>調解會收受申請後，應於七日內通知雙方當事人調解期日。</w:t>
            </w:r>
          </w:p>
          <w:p w:rsidR="006C57BD" w:rsidRPr="00AF1EFD" w:rsidRDefault="006C57BD" w:rsidP="00BC0602">
            <w:pPr>
              <w:pStyle w:val="a7"/>
              <w:numPr>
                <w:ilvl w:val="0"/>
                <w:numId w:val="15"/>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sz w:val="28"/>
                <w:szCs w:val="28"/>
              </w:rPr>
              <w:t>為</w:t>
            </w:r>
            <w:r w:rsidRPr="00AF1EFD">
              <w:rPr>
                <w:rFonts w:ascii="標楷體" w:eastAsia="標楷體" w:hAnsi="標楷體" w:hint="eastAsia"/>
                <w:sz w:val="28"/>
                <w:szCs w:val="28"/>
              </w:rPr>
              <w:t>避免紛爭反覆發生，以達一次解決紛爭之目的，爰明訂醫</w:t>
            </w:r>
            <w:r w:rsidRPr="00AF1EFD">
              <w:rPr>
                <w:rFonts w:ascii="標楷體" w:eastAsia="標楷體" w:hAnsi="標楷體" w:hint="eastAsia"/>
                <w:sz w:val="28"/>
                <w:szCs w:val="28"/>
              </w:rPr>
              <w:lastRenderedPageBreak/>
              <w:t>事人員或醫療機構得請求調解會通知他方當事人提出有關本案得為民事請求權人之名冊及連絡方式。</w:t>
            </w:r>
          </w:p>
          <w:p w:rsidR="006C57BD" w:rsidRPr="00AF1EFD" w:rsidRDefault="006C57BD" w:rsidP="00BC0602">
            <w:pPr>
              <w:pStyle w:val="a7"/>
              <w:numPr>
                <w:ilvl w:val="0"/>
                <w:numId w:val="15"/>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第三人經調解會同意或釋明有法律上之利害關係者，調解會應許可第三人之請求，以保護第三人之權益。</w:t>
            </w:r>
          </w:p>
          <w:p w:rsidR="006C57BD" w:rsidRPr="00AF1EFD" w:rsidRDefault="006C57BD" w:rsidP="00BC0602">
            <w:pPr>
              <w:pStyle w:val="a7"/>
              <w:numPr>
                <w:ilvl w:val="0"/>
                <w:numId w:val="15"/>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為有效運用有限之行政資源，同一原因事實之醫事爭議事件，調解會得予併案調解。</w:t>
            </w:r>
          </w:p>
        </w:tc>
      </w:tr>
      <w:tr w:rsidR="00AF1EFD" w:rsidRPr="00AF1EFD" w:rsidTr="00536DD7">
        <w:tc>
          <w:tcPr>
            <w:tcW w:w="4501" w:type="dxa"/>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lastRenderedPageBreak/>
              <w:t>第十五條　調解程序不公開之。但當事人另有約定者，不在此限。</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調解委員及經辦調解事務工作人員，對於調解事件，除已公開事項外，應保守秘密。</w:t>
            </w:r>
          </w:p>
        </w:tc>
        <w:tc>
          <w:tcPr>
            <w:tcW w:w="4502" w:type="dxa"/>
          </w:tcPr>
          <w:p w:rsidR="00E92EB5" w:rsidRPr="00AF1EFD" w:rsidRDefault="000406EA" w:rsidP="000406EA">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明定調解過程不公開，以及參與調解委員、工作人員之保密義務。</w:t>
            </w:r>
          </w:p>
        </w:tc>
      </w:tr>
      <w:tr w:rsidR="00AF1EFD" w:rsidRPr="00AF1EFD" w:rsidTr="00536DD7">
        <w:tc>
          <w:tcPr>
            <w:tcW w:w="4501" w:type="dxa"/>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第十六條　當事人經調解會通知到場進行調解者，不得無故拒絕到場。</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醫療機構不得無故禁止或妨礙所屬醫事人員進行或成立調解之行為或措施。</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醫療機構不得因其所屬醫事人員申請或同意調解，或因調解成立或不成立，予以不利之處遇。</w:t>
            </w:r>
          </w:p>
        </w:tc>
        <w:tc>
          <w:tcPr>
            <w:tcW w:w="4502" w:type="dxa"/>
          </w:tcPr>
          <w:p w:rsidR="00E92EB5" w:rsidRPr="00AF1EFD" w:rsidRDefault="006C57BD" w:rsidP="00BC0602">
            <w:pPr>
              <w:pStyle w:val="a7"/>
              <w:numPr>
                <w:ilvl w:val="0"/>
                <w:numId w:val="16"/>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sz w:val="28"/>
                <w:szCs w:val="28"/>
              </w:rPr>
              <w:t>為促進調解成立，明定當事人到場之義務。</w:t>
            </w:r>
          </w:p>
          <w:p w:rsidR="006C57BD" w:rsidRPr="00AF1EFD" w:rsidRDefault="006C57BD" w:rsidP="00C56498">
            <w:pPr>
              <w:pStyle w:val="a7"/>
              <w:numPr>
                <w:ilvl w:val="0"/>
                <w:numId w:val="16"/>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避免調解成立機會受到不當之干擾，促進病人相關權益，於第二項及第三項明定醫療機構不得禁止或妨礙所屬醫事人員進行或成立調解，並不得因所屬醫事人員參與調解而給予不利處遇。</w:t>
            </w:r>
          </w:p>
        </w:tc>
      </w:tr>
      <w:tr w:rsidR="00AF1EFD" w:rsidRPr="00AF1EFD" w:rsidTr="00536DD7">
        <w:tc>
          <w:tcPr>
            <w:tcW w:w="4501" w:type="dxa"/>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第十七條　當事人無正當理由於調解期日不到場者，視為調解不成立。但調解</w:t>
            </w:r>
            <w:r w:rsidRPr="00C56498">
              <w:rPr>
                <w:rFonts w:ascii="標楷體" w:eastAsia="標楷體" w:hAnsi="標楷體" w:hint="eastAsia"/>
                <w:sz w:val="28"/>
                <w:szCs w:val="28"/>
              </w:rPr>
              <w:t>會</w:t>
            </w:r>
            <w:r w:rsidRPr="00AF1EFD">
              <w:rPr>
                <w:rFonts w:ascii="標楷體" w:eastAsia="標楷體" w:hAnsi="標楷體" w:hint="eastAsia"/>
                <w:sz w:val="28"/>
                <w:szCs w:val="28"/>
              </w:rPr>
              <w:t>認為有成立調解之可能者，得另定調解期日。</w:t>
            </w:r>
          </w:p>
        </w:tc>
        <w:tc>
          <w:tcPr>
            <w:tcW w:w="4502" w:type="dxa"/>
          </w:tcPr>
          <w:p w:rsidR="00E92EB5" w:rsidRPr="00AF1EFD" w:rsidRDefault="006C57BD" w:rsidP="006C57BD">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明定當事人無正當理由不到場調解之效果。</w:t>
            </w:r>
          </w:p>
        </w:tc>
      </w:tr>
      <w:tr w:rsidR="00AF1EFD" w:rsidRPr="00AF1EFD" w:rsidTr="00536DD7">
        <w:tc>
          <w:tcPr>
            <w:tcW w:w="4501" w:type="dxa"/>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第十八條　直轄市、縣（市）主管</w:t>
            </w:r>
            <w:r w:rsidRPr="00AF1EFD">
              <w:rPr>
                <w:rFonts w:ascii="標楷體" w:eastAsia="標楷體" w:hAnsi="標楷體" w:hint="eastAsia"/>
                <w:sz w:val="28"/>
                <w:szCs w:val="28"/>
              </w:rPr>
              <w:lastRenderedPageBreak/>
              <w:t>機關因調解之需要，得要求醫療機構提供所需之病歷、診療紀錄、簿據、醫療費用成本或其他相關文件、資料；醫療機構不得規避、妨礙、拒絕或作虛偽之證明、報告或陳述。</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調解會調解時，得經當事人同意邀請醫學、法律、心理、社會工作或其他相關專業人員列席意見，或向第七條受託之財團法人、機構或團體申請評析意見。</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前項費用，應由申請之當事人支付。</w:t>
            </w:r>
          </w:p>
        </w:tc>
        <w:tc>
          <w:tcPr>
            <w:tcW w:w="4502" w:type="dxa"/>
          </w:tcPr>
          <w:p w:rsidR="006C57BD" w:rsidRPr="00AF1EFD" w:rsidRDefault="006C57BD" w:rsidP="00BC0602">
            <w:pPr>
              <w:pStyle w:val="a7"/>
              <w:numPr>
                <w:ilvl w:val="0"/>
                <w:numId w:val="17"/>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lastRenderedPageBreak/>
              <w:t>第一項明定醫療機構不得拒絕</w:t>
            </w:r>
            <w:r w:rsidRPr="00AF1EFD">
              <w:rPr>
                <w:rFonts w:ascii="標楷體" w:eastAsia="標楷體" w:hAnsi="標楷體" w:hint="eastAsia"/>
                <w:sz w:val="28"/>
                <w:szCs w:val="28"/>
              </w:rPr>
              <w:lastRenderedPageBreak/>
              <w:t>直轄市、縣（市）主管機關要求提供所需之病歷、簿據等相關資料。另直轄市、縣（市）主管機關應依本法維護病人權益、調和醫病關係旨意，適時、主動蒐集受理之醫事</w:t>
            </w:r>
            <w:r w:rsidR="00C56498">
              <w:rPr>
                <w:rFonts w:ascii="標楷體" w:eastAsia="標楷體" w:hAnsi="標楷體" w:hint="eastAsia"/>
                <w:sz w:val="28"/>
                <w:szCs w:val="28"/>
              </w:rPr>
              <w:t>爭議案</w:t>
            </w:r>
            <w:r w:rsidRPr="00AF1EFD">
              <w:rPr>
                <w:rFonts w:ascii="標楷體" w:eastAsia="標楷體" w:hAnsi="標楷體" w:hint="eastAsia"/>
                <w:sz w:val="28"/>
                <w:szCs w:val="28"/>
              </w:rPr>
              <w:t>件相關資訊，完善調解幕僚相關作業，促進調解程序。</w:t>
            </w:r>
          </w:p>
          <w:p w:rsidR="00E92EB5" w:rsidRPr="00AF1EFD" w:rsidRDefault="006C57BD" w:rsidP="00BC0602">
            <w:pPr>
              <w:pStyle w:val="a7"/>
              <w:numPr>
                <w:ilvl w:val="0"/>
                <w:numId w:val="17"/>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第二項明定調解委員於調解期間得要求直轄市、縣（市）主管機關蒐集資料、邀請醫學專家或其他專業機構、人員提供或列席陳述專業意見之權限，期使調解程序客觀，昭信雙方當事人。</w:t>
            </w:r>
          </w:p>
        </w:tc>
      </w:tr>
      <w:tr w:rsidR="00AF1EFD" w:rsidRPr="00AF1EFD" w:rsidTr="00536DD7">
        <w:tc>
          <w:tcPr>
            <w:tcW w:w="4501" w:type="dxa"/>
          </w:tcPr>
          <w:p w:rsidR="00E92EB5" w:rsidRPr="00AF1EFD" w:rsidRDefault="00E92EB5" w:rsidP="00E92EB5">
            <w:pPr>
              <w:snapToGrid w:val="0"/>
              <w:spacing w:beforeLines="50" w:before="180" w:afterLines="50" w:after="180" w:line="240" w:lineRule="atLeast"/>
              <w:ind w:left="276" w:hanging="276"/>
              <w:jc w:val="both"/>
              <w:rPr>
                <w:rFonts w:ascii="標楷體" w:eastAsia="標楷體" w:hAnsi="標楷體"/>
                <w:sz w:val="28"/>
                <w:szCs w:val="28"/>
              </w:rPr>
            </w:pPr>
            <w:r w:rsidRPr="00AF1EFD">
              <w:rPr>
                <w:rFonts w:ascii="標楷體" w:eastAsia="標楷體" w:hAnsi="標楷體" w:hint="eastAsia"/>
                <w:sz w:val="28"/>
                <w:szCs w:val="28"/>
              </w:rPr>
              <w:lastRenderedPageBreak/>
              <w:t>第十九條　調解委員應本</w:t>
            </w:r>
            <w:r w:rsidR="006C57BD" w:rsidRPr="00AF1EFD">
              <w:rPr>
                <w:rFonts w:ascii="標楷體" w:eastAsia="標楷體" w:hAnsi="標楷體" w:hint="eastAsia"/>
                <w:sz w:val="28"/>
                <w:szCs w:val="28"/>
              </w:rPr>
              <w:t>和</w:t>
            </w:r>
            <w:r w:rsidRPr="00AF1EFD">
              <w:rPr>
                <w:rFonts w:ascii="標楷體" w:eastAsia="標楷體" w:hAnsi="標楷體" w:hint="eastAsia"/>
                <w:sz w:val="28"/>
                <w:szCs w:val="28"/>
              </w:rPr>
              <w:t>平、懇切之態度，對當事人說明調解程序及相關法律效果，並為適當之勸導，力謀調解之成立。</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調解過程中，病人、家屬或其他親友有強暴、脅迫或其他非法行為，調解委員得商請警察機關派員到場依法處理。</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代理人有前項行為者，調解委員得禁止其代理。</w:t>
            </w:r>
          </w:p>
        </w:tc>
        <w:tc>
          <w:tcPr>
            <w:tcW w:w="4502" w:type="dxa"/>
          </w:tcPr>
          <w:p w:rsidR="00E92EB5" w:rsidRPr="00AF1EFD" w:rsidRDefault="006C57BD" w:rsidP="00BC0602">
            <w:pPr>
              <w:pStyle w:val="a7"/>
              <w:numPr>
                <w:ilvl w:val="0"/>
                <w:numId w:val="18"/>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第一項增訂調解委員應本於和平、懇切之態度，遵循客觀、公平合理之原則說明調解程序及相關法律效果，就兩造主張有無理由予以指明，並為適當之勸導，力謀調解之成立。</w:t>
            </w:r>
          </w:p>
          <w:p w:rsidR="00C2310D" w:rsidRPr="00AF1EFD" w:rsidRDefault="00C2310D" w:rsidP="00BC0602">
            <w:pPr>
              <w:pStyle w:val="a7"/>
              <w:numPr>
                <w:ilvl w:val="0"/>
                <w:numId w:val="18"/>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sz w:val="28"/>
                <w:szCs w:val="28"/>
              </w:rPr>
              <w:t>第二項及第三項規定，係為保障</w:t>
            </w:r>
            <w:r w:rsidRPr="00AF1EFD">
              <w:rPr>
                <w:rFonts w:ascii="標楷體" w:eastAsia="標楷體" w:hAnsi="標楷體" w:hint="eastAsia"/>
                <w:sz w:val="28"/>
                <w:szCs w:val="28"/>
              </w:rPr>
              <w:t>調解過程順利無礙所設。</w:t>
            </w:r>
          </w:p>
        </w:tc>
      </w:tr>
      <w:tr w:rsidR="00AF1EFD" w:rsidRPr="00AF1EFD" w:rsidTr="00536DD7">
        <w:tc>
          <w:tcPr>
            <w:tcW w:w="4501" w:type="dxa"/>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第二十條　調解過程中，調解委員所為之勸導，當事人所為之遺憾、道歉或其他相類似陳述，不得採為相關訴訟之證據或裁判基礎。</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同一原因事實之醫療爭議事件，一方當事人分別與多數之他方當事人進行調解時，當事人於一案調解中所為之陳述、讓及</w:t>
            </w:r>
            <w:r w:rsidRPr="00AF1EFD">
              <w:rPr>
                <w:rFonts w:ascii="標楷體" w:eastAsia="標楷體" w:hAnsi="標楷體" w:hint="eastAsia"/>
                <w:sz w:val="28"/>
                <w:szCs w:val="28"/>
              </w:rPr>
              <w:lastRenderedPageBreak/>
              <w:t>調解結果，非經其同意，不得於另案調解中洩漏或援用。</w:t>
            </w:r>
          </w:p>
        </w:tc>
        <w:tc>
          <w:tcPr>
            <w:tcW w:w="4502" w:type="dxa"/>
          </w:tcPr>
          <w:p w:rsidR="00C2310D" w:rsidRPr="00AF1EFD" w:rsidRDefault="00C2310D" w:rsidP="00BC0602">
            <w:pPr>
              <w:pStyle w:val="a7"/>
              <w:numPr>
                <w:ilvl w:val="0"/>
                <w:numId w:val="19"/>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lastRenderedPageBreak/>
              <w:t>為促進調解成立與釐清真相，第一項明定調解委員於調解期間所為之勸導，及當事人所為之遺憾、道歉或相類似陳述，不得採為刑事案件之證據。</w:t>
            </w:r>
          </w:p>
          <w:p w:rsidR="00E92EB5" w:rsidRPr="00AF1EFD" w:rsidRDefault="00C2310D" w:rsidP="00BC0602">
            <w:pPr>
              <w:pStyle w:val="a7"/>
              <w:numPr>
                <w:ilvl w:val="0"/>
                <w:numId w:val="19"/>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w:t>
            </w:r>
            <w:r w:rsidR="00C56498">
              <w:rPr>
                <w:rFonts w:ascii="標楷體" w:eastAsia="標楷體" w:hAnsi="標楷體" w:hint="eastAsia"/>
                <w:sz w:val="28"/>
                <w:szCs w:val="28"/>
              </w:rPr>
              <w:t>二</w:t>
            </w:r>
            <w:r w:rsidRPr="00AF1EFD">
              <w:rPr>
                <w:rFonts w:ascii="標楷體" w:eastAsia="標楷體" w:hAnsi="標楷體" w:hint="eastAsia"/>
                <w:sz w:val="28"/>
                <w:szCs w:val="28"/>
              </w:rPr>
              <w:t>項明定同一原因事實之醫</w:t>
            </w:r>
            <w:r w:rsidR="00B51116">
              <w:rPr>
                <w:rFonts w:ascii="標楷體" w:eastAsia="標楷體" w:hAnsi="標楷體" w:hint="eastAsia"/>
                <w:sz w:val="28"/>
                <w:szCs w:val="28"/>
              </w:rPr>
              <w:t>事爭議</w:t>
            </w:r>
            <w:r w:rsidRPr="00AF1EFD">
              <w:rPr>
                <w:rFonts w:ascii="標楷體" w:eastAsia="標楷體" w:hAnsi="標楷體" w:hint="eastAsia"/>
                <w:sz w:val="28"/>
                <w:szCs w:val="28"/>
              </w:rPr>
              <w:t>事件，如當事人於一案調解中所為之陳述、讓步及調解結果，他人非經其同意，不</w:t>
            </w:r>
            <w:r w:rsidRPr="00AF1EFD">
              <w:rPr>
                <w:rFonts w:ascii="標楷體" w:eastAsia="標楷體" w:hAnsi="標楷體" w:hint="eastAsia"/>
                <w:sz w:val="28"/>
                <w:szCs w:val="28"/>
              </w:rPr>
              <w:lastRenderedPageBreak/>
              <w:t>得於另案調解中洩漏或引用。</w:t>
            </w:r>
          </w:p>
        </w:tc>
      </w:tr>
      <w:tr w:rsidR="00AF1EFD" w:rsidRPr="00AF1EFD" w:rsidTr="00536DD7">
        <w:tc>
          <w:tcPr>
            <w:tcW w:w="4501" w:type="dxa"/>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lastRenderedPageBreak/>
              <w:t>第二十一條　調解委員有下列情形之一者，應自行迴避：</w:t>
            </w:r>
          </w:p>
          <w:p w:rsidR="00E92EB5" w:rsidRPr="00AF1EFD" w:rsidRDefault="00E92EB5" w:rsidP="00BC0602">
            <w:pPr>
              <w:pStyle w:val="a7"/>
              <w:numPr>
                <w:ilvl w:val="0"/>
                <w:numId w:val="3"/>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本人或其配偶、直系血親、三親等以內之血親或姻親、家屬為當事人、當事人之法定代理人或代理人。</w:t>
            </w:r>
          </w:p>
          <w:p w:rsidR="00E92EB5" w:rsidRPr="00AF1EFD" w:rsidRDefault="00E92EB5" w:rsidP="00BC0602">
            <w:pPr>
              <w:pStyle w:val="a7"/>
              <w:numPr>
                <w:ilvl w:val="0"/>
                <w:numId w:val="3"/>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與當事人或其法定代理人服務於同一機構或團體。</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調解委員未依前項規定迴避者，當事人得申請調解會另為指定之。</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當事人認為調解委員有偏頗之虞，經他方當事人之同意，得申請另為指定；他方當事人不同意時，視為調解不成立。</w:t>
            </w:r>
          </w:p>
        </w:tc>
        <w:tc>
          <w:tcPr>
            <w:tcW w:w="4502" w:type="dxa"/>
          </w:tcPr>
          <w:p w:rsidR="00E92EB5" w:rsidRPr="00AF1EFD" w:rsidRDefault="00C2310D" w:rsidP="00C2310D">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調解委員對於調解事項涉及本身或其配偶、血親及姻親時，經當事人聲請，應行迴避。</w:t>
            </w:r>
          </w:p>
        </w:tc>
      </w:tr>
      <w:tr w:rsidR="00AF1EFD" w:rsidRPr="00AF1EFD" w:rsidTr="00536DD7">
        <w:tc>
          <w:tcPr>
            <w:tcW w:w="4501" w:type="dxa"/>
            <w:shd w:val="clear" w:color="auto" w:fill="auto"/>
          </w:tcPr>
          <w:p w:rsidR="00E92EB5" w:rsidRPr="00AF1EFD" w:rsidRDefault="00E92EB5" w:rsidP="00E92EB5">
            <w:pPr>
              <w:snapToGrid w:val="0"/>
              <w:spacing w:beforeLines="50" w:before="180" w:afterLines="50" w:after="180" w:line="240" w:lineRule="atLeast"/>
              <w:ind w:left="418" w:hanging="425"/>
              <w:jc w:val="both"/>
              <w:rPr>
                <w:rFonts w:ascii="標楷體" w:eastAsia="標楷體" w:hAnsi="標楷體"/>
                <w:sz w:val="28"/>
                <w:szCs w:val="28"/>
              </w:rPr>
            </w:pPr>
            <w:r w:rsidRPr="00AF1EFD">
              <w:rPr>
                <w:rFonts w:ascii="標楷體" w:eastAsia="標楷體" w:hAnsi="標楷體" w:hint="eastAsia"/>
                <w:sz w:val="28"/>
                <w:szCs w:val="28"/>
              </w:rPr>
              <w:t>第二十二條　調解會於調解不成立時，應即作成調解不成立證明書，並由直轄市、縣（市）主管機關於調解不成立之日起七個工作日內將該證明書寄送當事人。</w:t>
            </w:r>
          </w:p>
          <w:p w:rsidR="00E92EB5" w:rsidRPr="00AF1EFD" w:rsidRDefault="00E92EB5" w:rsidP="00C2310D">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檢察官函請或法院移付調解之事件，直轄市、縣（市）主管機關於調解成立或不成立時，均應陳報該管檢察官或法院，並檢還所送卷證。</w:t>
            </w:r>
          </w:p>
        </w:tc>
        <w:tc>
          <w:tcPr>
            <w:tcW w:w="4502" w:type="dxa"/>
          </w:tcPr>
          <w:p w:rsidR="00C2310D" w:rsidRPr="00AF1EFD" w:rsidRDefault="00C2310D" w:rsidP="00BC0602">
            <w:pPr>
              <w:pStyle w:val="a7"/>
              <w:numPr>
                <w:ilvl w:val="0"/>
                <w:numId w:val="20"/>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第一項明定調解不成立應作成調解不成立證</w:t>
            </w:r>
            <w:r w:rsidR="00C56498">
              <w:rPr>
                <w:rFonts w:ascii="標楷體" w:eastAsia="標楷體" w:hAnsi="標楷體" w:hint="eastAsia"/>
                <w:sz w:val="28"/>
                <w:szCs w:val="28"/>
              </w:rPr>
              <w:t>明書及寄送當事人之期限。又調解不成立證明書將載明得採取仲裁</w:t>
            </w:r>
            <w:r w:rsidRPr="00AF1EFD">
              <w:rPr>
                <w:rFonts w:ascii="標楷體" w:eastAsia="標楷體" w:hAnsi="標楷體" w:hint="eastAsia"/>
                <w:sz w:val="28"/>
                <w:szCs w:val="28"/>
              </w:rPr>
              <w:t>等訴訟外救濟途徑，使病人或家屬更瞭解相關權益保障或救濟方法。</w:t>
            </w:r>
          </w:p>
          <w:p w:rsidR="00E92EB5" w:rsidRPr="00AF1EFD" w:rsidRDefault="00C2310D" w:rsidP="00BC0602">
            <w:pPr>
              <w:pStyle w:val="a7"/>
              <w:numPr>
                <w:ilvl w:val="0"/>
                <w:numId w:val="20"/>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第二項明定直轄市、縣（市）主管機關對於檢察官函請或法院移付調解事件，於調解結束後，應迅即陳報及檢還卷證之義務。</w:t>
            </w:r>
          </w:p>
        </w:tc>
      </w:tr>
      <w:tr w:rsidR="00AF1EFD" w:rsidRPr="00AF1EFD" w:rsidTr="00536DD7">
        <w:tc>
          <w:tcPr>
            <w:tcW w:w="4501" w:type="dxa"/>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第二十三條　調解會於調解成立時，應於成立當日作成調解成立書，由當事人、代理人及出席調解委員簽名或蓋章。</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lastRenderedPageBreak/>
              <w:t>前項調解成立書，應載明下列事項：</w:t>
            </w:r>
          </w:p>
          <w:p w:rsidR="00E92EB5" w:rsidRPr="00AF1EFD" w:rsidRDefault="00E92EB5" w:rsidP="00BC0602">
            <w:pPr>
              <w:pStyle w:val="a7"/>
              <w:numPr>
                <w:ilvl w:val="0"/>
                <w:numId w:val="4"/>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當事人姓名、性別、出生年月日、國民身分證統一編號、住所或居所；當事人為醫療機構者，其名稱、負責人及機構所在地；當事人非病人本人者，其與病人之關係。</w:t>
            </w:r>
          </w:p>
          <w:p w:rsidR="00E92EB5" w:rsidRPr="00AF1EFD" w:rsidRDefault="00E92EB5" w:rsidP="00BC0602">
            <w:pPr>
              <w:pStyle w:val="a7"/>
              <w:numPr>
                <w:ilvl w:val="0"/>
                <w:numId w:val="4"/>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有法定代理人或代理人者，其姓名、國民身分證統一編號、住所或居所。</w:t>
            </w:r>
          </w:p>
          <w:p w:rsidR="00E92EB5" w:rsidRPr="00AF1EFD" w:rsidRDefault="00E92EB5" w:rsidP="00BC0602">
            <w:pPr>
              <w:pStyle w:val="a7"/>
              <w:numPr>
                <w:ilvl w:val="0"/>
                <w:numId w:val="4"/>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出席調解委員姓名。</w:t>
            </w:r>
          </w:p>
          <w:p w:rsidR="00E92EB5" w:rsidRPr="00AF1EFD" w:rsidRDefault="00E92EB5" w:rsidP="00BC0602">
            <w:pPr>
              <w:pStyle w:val="a7"/>
              <w:numPr>
                <w:ilvl w:val="0"/>
                <w:numId w:val="4"/>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調解事由。</w:t>
            </w:r>
          </w:p>
          <w:p w:rsidR="00E92EB5" w:rsidRPr="00AF1EFD" w:rsidRDefault="00E92EB5" w:rsidP="00BC0602">
            <w:pPr>
              <w:pStyle w:val="a7"/>
              <w:numPr>
                <w:ilvl w:val="0"/>
                <w:numId w:val="4"/>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調解成立之內容。</w:t>
            </w:r>
          </w:p>
          <w:p w:rsidR="00E92EB5" w:rsidRPr="00AF1EFD" w:rsidRDefault="00E92EB5" w:rsidP="00BC0602">
            <w:pPr>
              <w:pStyle w:val="a7"/>
              <w:numPr>
                <w:ilvl w:val="0"/>
                <w:numId w:val="4"/>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調解處所。</w:t>
            </w:r>
          </w:p>
          <w:p w:rsidR="00E92EB5" w:rsidRPr="00AF1EFD" w:rsidRDefault="00E92EB5" w:rsidP="00BC0602">
            <w:pPr>
              <w:pStyle w:val="a7"/>
              <w:numPr>
                <w:ilvl w:val="0"/>
                <w:numId w:val="4"/>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調解年、月、日。</w:t>
            </w:r>
          </w:p>
        </w:tc>
        <w:tc>
          <w:tcPr>
            <w:tcW w:w="4502" w:type="dxa"/>
          </w:tcPr>
          <w:p w:rsidR="00E92EB5" w:rsidRPr="00AF1EFD" w:rsidRDefault="00C2310D" w:rsidP="00C2310D">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lastRenderedPageBreak/>
              <w:t>明定醫</w:t>
            </w:r>
            <w:r w:rsidR="00C56498">
              <w:rPr>
                <w:rFonts w:ascii="標楷體" w:eastAsia="標楷體" w:hAnsi="標楷體" w:hint="eastAsia"/>
                <w:sz w:val="28"/>
                <w:szCs w:val="28"/>
              </w:rPr>
              <w:t>事爭議</w:t>
            </w:r>
            <w:r w:rsidRPr="00AF1EFD">
              <w:rPr>
                <w:rFonts w:ascii="標楷體" w:eastAsia="標楷體" w:hAnsi="標楷體" w:hint="eastAsia"/>
                <w:sz w:val="28"/>
                <w:szCs w:val="28"/>
              </w:rPr>
              <w:t>事件之調解成立書簽署及應記載事項。</w:t>
            </w:r>
          </w:p>
        </w:tc>
      </w:tr>
      <w:tr w:rsidR="00AF1EFD" w:rsidRPr="00AF1EFD" w:rsidTr="00536DD7">
        <w:tc>
          <w:tcPr>
            <w:tcW w:w="4501" w:type="dxa"/>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lastRenderedPageBreak/>
              <w:t>第二十四條　直轄市、縣（市）主管機關應於調解成立之日起七個工作日內，將調解成立書及卷證送請移付或管轄法院核定。</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法院應儘速審核前項調解成立書，認其應予核定者，應由法官簽名並蓋法院印信，除抽存一份外，併調解事件卷證發還直轄市、縣（市）主管機關。直轄市、縣（市）主管機關收到後，應於三日內寄送當事人。</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法院因調解內容牴觸法令、違背公共秩序或善良風俗，或不能強制執行而未予核定者，應將其理由通知直轄市、縣</w:t>
            </w:r>
            <w:r w:rsidRPr="00AF1EFD">
              <w:rPr>
                <w:rFonts w:ascii="標楷體" w:eastAsia="標楷體" w:hAnsi="標楷體" w:hint="eastAsia"/>
                <w:sz w:val="28"/>
                <w:szCs w:val="28"/>
              </w:rPr>
              <w:lastRenderedPageBreak/>
              <w:t>（市）主管機關。由法院移付者，並應續行訴訟程序。</w:t>
            </w:r>
          </w:p>
        </w:tc>
        <w:tc>
          <w:tcPr>
            <w:tcW w:w="4502" w:type="dxa"/>
          </w:tcPr>
          <w:p w:rsidR="00C2310D" w:rsidRPr="00AF1EFD" w:rsidRDefault="00C2310D" w:rsidP="00BC0602">
            <w:pPr>
              <w:pStyle w:val="a7"/>
              <w:numPr>
                <w:ilvl w:val="0"/>
                <w:numId w:val="21"/>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lastRenderedPageBreak/>
              <w:t>第一項明定醫</w:t>
            </w:r>
            <w:r w:rsidR="00C56498">
              <w:rPr>
                <w:rFonts w:ascii="標楷體" w:eastAsia="標楷體" w:hAnsi="標楷體" w:hint="eastAsia"/>
                <w:sz w:val="28"/>
                <w:szCs w:val="28"/>
              </w:rPr>
              <w:t>事</w:t>
            </w:r>
            <w:r w:rsidRPr="00AF1EFD">
              <w:rPr>
                <w:rFonts w:ascii="標楷體" w:eastAsia="標楷體" w:hAnsi="標楷體" w:hint="eastAsia"/>
                <w:sz w:val="28"/>
                <w:szCs w:val="28"/>
              </w:rPr>
              <w:t>爭議事件調解成立後，應送請移付或管轄法院核定之 期限，以維護當事人權益。</w:t>
            </w:r>
          </w:p>
          <w:p w:rsidR="00C2310D" w:rsidRPr="00AF1EFD" w:rsidRDefault="00C2310D" w:rsidP="00BC0602">
            <w:pPr>
              <w:pStyle w:val="a7"/>
              <w:numPr>
                <w:ilvl w:val="0"/>
                <w:numId w:val="21"/>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第二項明定調解成立書送請法院核定程序及直轄市、縣（市）主管機關寄送當事人期限。</w:t>
            </w:r>
          </w:p>
          <w:p w:rsidR="00E92EB5" w:rsidRPr="00AF1EFD" w:rsidRDefault="00C2310D" w:rsidP="00BC0602">
            <w:pPr>
              <w:pStyle w:val="a7"/>
              <w:numPr>
                <w:ilvl w:val="0"/>
                <w:numId w:val="21"/>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第三項明定調解成立書不予核定之理由及通知程序。</w:t>
            </w:r>
          </w:p>
        </w:tc>
      </w:tr>
      <w:tr w:rsidR="00AF1EFD" w:rsidRPr="00AF1EFD" w:rsidTr="00536DD7">
        <w:tc>
          <w:tcPr>
            <w:tcW w:w="4501" w:type="dxa"/>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lastRenderedPageBreak/>
              <w:t>第二十五條　調解經法院核定後，當事人就同一民事事件不得再行起訴；如已繫屬法院，訴訟終結。</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調解經法院核定後，當事人就告訴乃論之刑事事件，不得提起告訴或自訴；告訴乃論之刑事事件於偵查中或第一審法院辯論終結前，調解成立，並於調解書上記載當事人同意撤回意旨，經法院核定者，視為於調解成立時撤回告訴或自訴。</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經法院核定之調解，與民事確定判決有同一之效力。</w:t>
            </w:r>
          </w:p>
        </w:tc>
        <w:tc>
          <w:tcPr>
            <w:tcW w:w="4502" w:type="dxa"/>
          </w:tcPr>
          <w:p w:rsidR="00C2310D" w:rsidRPr="00AF1EFD" w:rsidRDefault="00C2310D" w:rsidP="00BC0602">
            <w:pPr>
              <w:pStyle w:val="a7"/>
              <w:numPr>
                <w:ilvl w:val="0"/>
                <w:numId w:val="22"/>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第一項及第二項明定醫</w:t>
            </w:r>
            <w:r w:rsidR="00C56498">
              <w:rPr>
                <w:rFonts w:ascii="標楷體" w:eastAsia="標楷體" w:hAnsi="標楷體" w:hint="eastAsia"/>
                <w:sz w:val="28"/>
                <w:szCs w:val="28"/>
              </w:rPr>
              <w:t>事爭議</w:t>
            </w:r>
            <w:r w:rsidRPr="00AF1EFD">
              <w:rPr>
                <w:rFonts w:ascii="標楷體" w:eastAsia="標楷體" w:hAnsi="標楷體" w:hint="eastAsia"/>
                <w:sz w:val="28"/>
                <w:szCs w:val="28"/>
              </w:rPr>
              <w:t>事件如經本法調解成立及法院核定，未繫屬民事、刑事法院者，不得再行起訴、告訴或自訴；已繫屬者，視為撤回起訴、告訴或自訴。</w:t>
            </w:r>
          </w:p>
          <w:p w:rsidR="00E92EB5" w:rsidRPr="00AF1EFD" w:rsidRDefault="00C2310D" w:rsidP="00C56498">
            <w:pPr>
              <w:pStyle w:val="a7"/>
              <w:numPr>
                <w:ilvl w:val="0"/>
                <w:numId w:val="22"/>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第三項明定經法院核定之調解與民事確定判決有同一之效力，故醫療機構、醫事人員如未履行調解內容者，病人方即得以其為執行名義，依強制執行法聲請後續相關執行。</w:t>
            </w:r>
          </w:p>
        </w:tc>
      </w:tr>
      <w:tr w:rsidR="00AF1EFD" w:rsidRPr="00AF1EFD" w:rsidTr="00536DD7">
        <w:tc>
          <w:tcPr>
            <w:tcW w:w="4501" w:type="dxa"/>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第二十六條　當事人申請之民事調解經法院核定後，有無效或得撤銷之原因時，當事人得向原核定法院提起宣告調解無效或撤銷調解之訴。</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經法院移付而成立之民事調解，並經法院核定者，有無效或得撤銷之原因時，當事人得請求繼續審判。</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前二項規定，當事人應於法院核定之調解成立書送達後三十日內為之。</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民事訴訟法第五百零二條及強制執行法第十八條第二項規定，於第一項、第二項情形準用之。</w:t>
            </w:r>
          </w:p>
        </w:tc>
        <w:tc>
          <w:tcPr>
            <w:tcW w:w="4502" w:type="dxa"/>
          </w:tcPr>
          <w:p w:rsidR="00E92EB5" w:rsidRPr="00AF1EFD" w:rsidRDefault="00C2310D" w:rsidP="00C2310D">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明定經法院核定之調解有無效或得撤銷原因之處理及其程序。</w:t>
            </w:r>
          </w:p>
        </w:tc>
      </w:tr>
      <w:tr w:rsidR="00AF1EFD" w:rsidRPr="00AF1EFD" w:rsidTr="00536DD7">
        <w:tc>
          <w:tcPr>
            <w:tcW w:w="4501" w:type="dxa"/>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lastRenderedPageBreak/>
              <w:t>第二十七條　依本章所為之醫事爭議調解程序，不收取任何費用。</w:t>
            </w:r>
          </w:p>
        </w:tc>
        <w:tc>
          <w:tcPr>
            <w:tcW w:w="4502" w:type="dxa"/>
          </w:tcPr>
          <w:p w:rsidR="00E92EB5" w:rsidRPr="00AF1EFD" w:rsidRDefault="00C2310D" w:rsidP="00C2310D">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明定本章醫</w:t>
            </w:r>
            <w:r w:rsidR="00C56498">
              <w:rPr>
                <w:rFonts w:ascii="標楷體" w:eastAsia="標楷體" w:hAnsi="標楷體" w:hint="eastAsia"/>
                <w:sz w:val="28"/>
                <w:szCs w:val="28"/>
              </w:rPr>
              <w:t>事爭議</w:t>
            </w:r>
            <w:r w:rsidRPr="00AF1EFD">
              <w:rPr>
                <w:rFonts w:ascii="標楷體" w:eastAsia="標楷體" w:hAnsi="標楷體" w:hint="eastAsia"/>
                <w:sz w:val="28"/>
                <w:szCs w:val="28"/>
              </w:rPr>
              <w:t>事件之調解不收取任何費用。</w:t>
            </w:r>
          </w:p>
        </w:tc>
      </w:tr>
      <w:tr w:rsidR="00AF1EFD" w:rsidRPr="00AF1EFD" w:rsidTr="00536DD7">
        <w:tc>
          <w:tcPr>
            <w:tcW w:w="4501" w:type="dxa"/>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第二十八條　已繫屬於法院之醫事爭議民事事件，經移付依本法調解成立，並經法院核定者，原告得於法院核定調解書送達之日起三個月內，向法院聲請退還已繳裁判費三分之二。</w:t>
            </w:r>
          </w:p>
        </w:tc>
        <w:tc>
          <w:tcPr>
            <w:tcW w:w="4502" w:type="dxa"/>
          </w:tcPr>
          <w:p w:rsidR="00E92EB5" w:rsidRPr="00AF1EFD" w:rsidRDefault="00C2310D" w:rsidP="00C2310D">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參照鄉鎮市調解條例第二十八條規定，明定原告即病人方如向法院提起有關醫</w:t>
            </w:r>
            <w:r w:rsidR="00C56498">
              <w:rPr>
                <w:rFonts w:ascii="標楷體" w:eastAsia="標楷體" w:hAnsi="標楷體" w:hint="eastAsia"/>
                <w:sz w:val="28"/>
                <w:szCs w:val="28"/>
              </w:rPr>
              <w:t>事爭議</w:t>
            </w:r>
            <w:r w:rsidRPr="00AF1EFD">
              <w:rPr>
                <w:rFonts w:ascii="標楷體" w:eastAsia="標楷體" w:hAnsi="標楷體" w:hint="eastAsia"/>
                <w:sz w:val="28"/>
                <w:szCs w:val="28"/>
              </w:rPr>
              <w:t>之民事事件經移付依本法調解，並經調解成立及法院核定者，其訴訟終結，並得向法院聲請退還已繳裁判費三分之二。</w:t>
            </w:r>
          </w:p>
        </w:tc>
      </w:tr>
      <w:tr w:rsidR="00AF1EFD" w:rsidRPr="00AF1EFD" w:rsidTr="00536DD7">
        <w:tc>
          <w:tcPr>
            <w:tcW w:w="4501" w:type="dxa"/>
            <w:tcBorders>
              <w:bottom w:val="single" w:sz="12" w:space="0" w:color="auto"/>
            </w:tcBorders>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第二十九條　中央主管機關得委託具醫事專業之財團法人、機構或團體建立醫事爭議事件資料庫。</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直轄市、縣（市）主管機關應將所經辦之醫事爭議調解事件通報前項資料庫；其通報程序、期限、方式及其他應遵行事項之辦法，由中央主管機關定之。</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直轄市、縣（市）主管機關對於經辦之醫事爭議調解事件，應進行統計分析，每年公布結果。</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前項統計分析，應包含醫療機構層級別、區域別及病人性別。</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第一項資料庫之資料，不得採為相關訴訟之證據或裁判基礎。</w:t>
            </w:r>
          </w:p>
        </w:tc>
        <w:tc>
          <w:tcPr>
            <w:tcW w:w="4502" w:type="dxa"/>
            <w:tcBorders>
              <w:bottom w:val="single" w:sz="12" w:space="0" w:color="auto"/>
            </w:tcBorders>
          </w:tcPr>
          <w:p w:rsidR="00E92EB5" w:rsidRDefault="00C22759" w:rsidP="00F806F8">
            <w:pPr>
              <w:pStyle w:val="a7"/>
              <w:numPr>
                <w:ilvl w:val="0"/>
                <w:numId w:val="26"/>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明定主管機關對於醫事爭議調解應進行統計分析，每年公布結果之義務。</w:t>
            </w:r>
          </w:p>
          <w:p w:rsidR="00C56498" w:rsidRPr="00AF1EFD" w:rsidRDefault="00C56498" w:rsidP="00F806F8">
            <w:pPr>
              <w:pStyle w:val="a7"/>
              <w:numPr>
                <w:ilvl w:val="0"/>
                <w:numId w:val="26"/>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Pr>
                <w:rFonts w:ascii="標楷體" w:eastAsia="標楷體" w:hAnsi="標楷體"/>
                <w:sz w:val="28"/>
                <w:szCs w:val="28"/>
              </w:rPr>
              <w:t>為徹底落實</w:t>
            </w:r>
            <w:r w:rsidR="00F806F8">
              <w:rPr>
                <w:rFonts w:ascii="標楷體" w:eastAsia="標楷體" w:hAnsi="標楷體"/>
                <w:sz w:val="28"/>
                <w:szCs w:val="28"/>
              </w:rPr>
              <w:t>除錯精神，第五項定明</w:t>
            </w:r>
            <w:r w:rsidR="00F806F8" w:rsidRPr="00F806F8">
              <w:rPr>
                <w:rFonts w:ascii="標楷體" w:eastAsia="標楷體" w:hAnsi="標楷體" w:hint="eastAsia"/>
                <w:sz w:val="28"/>
                <w:szCs w:val="28"/>
              </w:rPr>
              <w:t>資料庫之資料，不得採為相關訴訟之證據或裁判基礎。</w:t>
            </w:r>
          </w:p>
        </w:tc>
      </w:tr>
      <w:tr w:rsidR="00AF1EFD" w:rsidRPr="00AF1EFD" w:rsidTr="00536DD7">
        <w:tc>
          <w:tcPr>
            <w:tcW w:w="4501" w:type="dxa"/>
            <w:tcBorders>
              <w:top w:val="single" w:sz="12" w:space="0" w:color="auto"/>
              <w:left w:val="single" w:sz="12" w:space="0" w:color="auto"/>
              <w:bottom w:val="single" w:sz="12" w:space="0" w:color="auto"/>
              <w:right w:val="single" w:sz="12" w:space="0" w:color="auto"/>
            </w:tcBorders>
            <w:shd w:val="clear" w:color="auto" w:fill="auto"/>
          </w:tcPr>
          <w:p w:rsidR="00E92EB5" w:rsidRPr="00AF1EFD" w:rsidRDefault="00E92EB5" w:rsidP="00E92EB5">
            <w:pPr>
              <w:snapToGrid w:val="0"/>
              <w:spacing w:beforeLines="50" w:before="180" w:afterLines="50" w:after="180" w:line="240" w:lineRule="atLeast"/>
              <w:jc w:val="center"/>
              <w:rPr>
                <w:rFonts w:ascii="標楷體" w:eastAsia="標楷體" w:hAnsi="標楷體"/>
                <w:sz w:val="28"/>
                <w:szCs w:val="28"/>
              </w:rPr>
            </w:pPr>
            <w:r w:rsidRPr="00AF1EFD">
              <w:rPr>
                <w:rFonts w:ascii="標楷體" w:eastAsia="標楷體" w:hAnsi="標楷體" w:hint="eastAsia"/>
                <w:b/>
                <w:sz w:val="28"/>
                <w:szCs w:val="28"/>
              </w:rPr>
              <w:t>第四章 通報、調查、分析及公布</w:t>
            </w:r>
          </w:p>
        </w:tc>
        <w:tc>
          <w:tcPr>
            <w:tcW w:w="4502" w:type="dxa"/>
            <w:tcBorders>
              <w:top w:val="single" w:sz="12" w:space="0" w:color="auto"/>
              <w:left w:val="single" w:sz="12" w:space="0" w:color="auto"/>
              <w:bottom w:val="single" w:sz="12" w:space="0" w:color="auto"/>
              <w:right w:val="single" w:sz="12" w:space="0" w:color="auto"/>
            </w:tcBorders>
          </w:tcPr>
          <w:p w:rsidR="00E92EB5" w:rsidRPr="00AF1EFD" w:rsidRDefault="00102511" w:rsidP="00E92EB5">
            <w:pPr>
              <w:snapToGrid w:val="0"/>
              <w:spacing w:beforeLines="50" w:before="180" w:afterLines="50" w:after="180" w:line="240" w:lineRule="atLeast"/>
              <w:jc w:val="center"/>
              <w:rPr>
                <w:rFonts w:ascii="標楷體" w:eastAsia="標楷體" w:hAnsi="標楷體"/>
                <w:b/>
                <w:sz w:val="28"/>
                <w:szCs w:val="28"/>
              </w:rPr>
            </w:pPr>
            <w:r w:rsidRPr="00AF1EFD">
              <w:rPr>
                <w:rFonts w:ascii="標楷體" w:eastAsia="標楷體" w:hAnsi="標楷體"/>
                <w:b/>
                <w:sz w:val="28"/>
                <w:szCs w:val="28"/>
              </w:rPr>
              <w:t>章  名</w:t>
            </w:r>
          </w:p>
        </w:tc>
      </w:tr>
      <w:tr w:rsidR="00AF1EFD" w:rsidRPr="00AF1EFD" w:rsidTr="00536DD7">
        <w:tc>
          <w:tcPr>
            <w:tcW w:w="4501" w:type="dxa"/>
            <w:tcBorders>
              <w:top w:val="single" w:sz="12" w:space="0" w:color="auto"/>
            </w:tcBorders>
            <w:shd w:val="clear" w:color="auto" w:fill="auto"/>
          </w:tcPr>
          <w:p w:rsidR="00C22759" w:rsidRPr="00AF1EFD" w:rsidRDefault="00C22759" w:rsidP="00C22759">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第三十條　為預防及降低醫事事故風險，醫療機構應建立機構內風險事件管控及通報機制。</w:t>
            </w:r>
          </w:p>
          <w:p w:rsidR="00C22759" w:rsidRPr="00AF1EFD" w:rsidRDefault="00C22759" w:rsidP="00C22759">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lastRenderedPageBreak/>
              <w:t>醫療機構應就重大醫事事故分析其根本原因、提出改善方案，並配合中央主管機關要求進行通報及接受查察。</w:t>
            </w:r>
          </w:p>
          <w:p w:rsidR="00C22759" w:rsidRPr="00AF1EFD" w:rsidRDefault="00C22759" w:rsidP="00C22759">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直轄市、縣（市）主管機關應於通報後一年內查察改善方案之執行。</w:t>
            </w:r>
          </w:p>
          <w:p w:rsidR="00C22759" w:rsidRPr="00AF1EFD" w:rsidRDefault="00C22759" w:rsidP="00C22759">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前二項通報及查察辦法，由中央主管機關定之。</w:t>
            </w:r>
          </w:p>
          <w:p w:rsidR="00C22759" w:rsidRPr="00AF1EFD" w:rsidRDefault="00C22759" w:rsidP="00C22759">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重大醫事事故分析根本原因內容，不得採為相關訴訟之證據或裁判基礎。</w:t>
            </w:r>
          </w:p>
        </w:tc>
        <w:tc>
          <w:tcPr>
            <w:tcW w:w="4502" w:type="dxa"/>
            <w:tcBorders>
              <w:top w:val="single" w:sz="12" w:space="0" w:color="auto"/>
            </w:tcBorders>
          </w:tcPr>
          <w:p w:rsidR="00C22759" w:rsidRDefault="00C22759" w:rsidP="00F806F8">
            <w:pPr>
              <w:pStyle w:val="a7"/>
              <w:numPr>
                <w:ilvl w:val="0"/>
                <w:numId w:val="27"/>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lastRenderedPageBreak/>
              <w:t>為使院內醫事人員及相關同仁獲得學習改錯之機會，明定醫療機構應主動建立院內之風險</w:t>
            </w:r>
            <w:r w:rsidRPr="00AF1EFD">
              <w:rPr>
                <w:rFonts w:ascii="標楷體" w:eastAsia="標楷體" w:hAnsi="標楷體" w:hint="eastAsia"/>
                <w:sz w:val="28"/>
                <w:szCs w:val="28"/>
              </w:rPr>
              <w:lastRenderedPageBreak/>
              <w:t>管控機制，並辦理高風險傷害事件之相關通報。</w:t>
            </w:r>
          </w:p>
          <w:p w:rsidR="00F806F8" w:rsidRPr="00AF1EFD" w:rsidRDefault="00F806F8" w:rsidP="00F806F8">
            <w:pPr>
              <w:pStyle w:val="a7"/>
              <w:numPr>
                <w:ilvl w:val="0"/>
                <w:numId w:val="27"/>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調查之目的，非以究責個人為目的，故有關調查文件本身，將不得作為相關究責或訴訟之基礎文件</w:t>
            </w:r>
            <w:r>
              <w:rPr>
                <w:rFonts w:ascii="標楷體" w:eastAsia="標楷體" w:hAnsi="標楷體"/>
                <w:sz w:val="28"/>
                <w:szCs w:val="28"/>
              </w:rPr>
              <w:t>，爰於第五項定明</w:t>
            </w:r>
            <w:r w:rsidRPr="00F806F8">
              <w:rPr>
                <w:rFonts w:ascii="標楷體" w:eastAsia="標楷體" w:hAnsi="標楷體" w:hint="eastAsia"/>
                <w:sz w:val="28"/>
                <w:szCs w:val="28"/>
              </w:rPr>
              <w:t>重大醫事事故分析根本原因內容，不得採為相關訴訟之證據或裁判基礎。</w:t>
            </w:r>
          </w:p>
        </w:tc>
      </w:tr>
      <w:tr w:rsidR="00AF1EFD" w:rsidRPr="00AF1EFD" w:rsidTr="00536DD7">
        <w:tc>
          <w:tcPr>
            <w:tcW w:w="4501" w:type="dxa"/>
            <w:shd w:val="clear" w:color="auto" w:fill="auto"/>
          </w:tcPr>
          <w:p w:rsidR="00C22759" w:rsidRPr="00AF1EFD" w:rsidRDefault="00C22759" w:rsidP="00C22759">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lastRenderedPageBreak/>
              <w:t>第三十一條　中央主管機關就醫事爭議事件，得視需要分析發生原因，並命醫療機構檢討及提出改善方案。</w:t>
            </w:r>
          </w:p>
          <w:p w:rsidR="00C22759" w:rsidRPr="00AF1EFD" w:rsidRDefault="00C22759" w:rsidP="00C22759">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前項分析，得委託醫療法人、其他醫事專業機關（構）或團體辦理，並應符合匿名、保密、共同學習之原則，且不以處分或追究責任為目的。</w:t>
            </w:r>
          </w:p>
        </w:tc>
        <w:tc>
          <w:tcPr>
            <w:tcW w:w="4502" w:type="dxa"/>
          </w:tcPr>
          <w:p w:rsidR="00C22759" w:rsidRPr="00AF1EFD" w:rsidRDefault="00C22759" w:rsidP="00BC0602">
            <w:pPr>
              <w:pStyle w:val="a7"/>
              <w:numPr>
                <w:ilvl w:val="0"/>
                <w:numId w:val="23"/>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第一項明定中央主管機關對於醫</w:t>
            </w:r>
            <w:r w:rsidR="00D574B9">
              <w:rPr>
                <w:rFonts w:ascii="標楷體" w:eastAsia="標楷體" w:hAnsi="標楷體" w:hint="eastAsia"/>
                <w:sz w:val="28"/>
                <w:szCs w:val="28"/>
              </w:rPr>
              <w:t>事</w:t>
            </w:r>
            <w:r w:rsidRPr="00AF1EFD">
              <w:rPr>
                <w:rFonts w:ascii="標楷體" w:eastAsia="標楷體" w:hAnsi="標楷體" w:hint="eastAsia"/>
                <w:sz w:val="28"/>
                <w:szCs w:val="28"/>
              </w:rPr>
              <w:t>爭議或醫療事故之醫療</w:t>
            </w:r>
            <w:r w:rsidR="00F806F8">
              <w:rPr>
                <w:rFonts w:ascii="標楷體" w:eastAsia="標楷體" w:hAnsi="標楷體" w:hint="eastAsia"/>
                <w:sz w:val="28"/>
                <w:szCs w:val="28"/>
              </w:rPr>
              <w:t>機</w:t>
            </w:r>
            <w:r w:rsidRPr="00AF1EFD">
              <w:rPr>
                <w:rFonts w:ascii="標楷體" w:eastAsia="標楷體" w:hAnsi="標楷體" w:hint="eastAsia"/>
                <w:sz w:val="28"/>
                <w:szCs w:val="28"/>
              </w:rPr>
              <w:t>構，得進行原因分析，並命其檢討及提出改善方案之權限，避免相同醫療錯誤重複發生，改善醫療環境及執業行為，以提升醫療品質。</w:t>
            </w:r>
          </w:p>
          <w:p w:rsidR="00C22759" w:rsidRPr="00AF1EFD" w:rsidRDefault="00C22759" w:rsidP="00BC0602">
            <w:pPr>
              <w:pStyle w:val="a7"/>
              <w:numPr>
                <w:ilvl w:val="0"/>
                <w:numId w:val="23"/>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按對於醫療疏失事件，目前國際醫療先進國家紛紛採取根本原因分析機制（RCA），即完整調查、原因徹底分析、公布與學習，且不以追究醫事人員個人責任為目的，期使醫療疏失事件真正可以避免重複發生；又國內現行之臺灣病人安全通報系統（TPR）平台，亦以匿名、保密、共同學習之效果，以及不以追究責任為目的，鼓勵通報病安事件，爰於第二項明定得委託辦理分析且應注意達到匿名、保密、共同學習之效果，並不以處分或追究責任為目的。有關匿名、保密，係為</w:t>
            </w:r>
            <w:r w:rsidRPr="00AF1EFD">
              <w:rPr>
                <w:rFonts w:ascii="標楷體" w:eastAsia="標楷體" w:hAnsi="標楷體" w:hint="eastAsia"/>
                <w:sz w:val="28"/>
                <w:szCs w:val="28"/>
              </w:rPr>
              <w:lastRenderedPageBreak/>
              <w:t>維護發生醫療疏失團體之相關人員不因說明或透露醫療疏失真相而因此喪失工作或遭到排斥。</w:t>
            </w:r>
          </w:p>
        </w:tc>
      </w:tr>
      <w:tr w:rsidR="00AF1EFD" w:rsidRPr="00AF1EFD" w:rsidTr="00536DD7">
        <w:tc>
          <w:tcPr>
            <w:tcW w:w="4501" w:type="dxa"/>
            <w:tcBorders>
              <w:bottom w:val="single" w:sz="12" w:space="0" w:color="auto"/>
            </w:tcBorders>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lastRenderedPageBreak/>
              <w:t>第三十二條　醫事事故經中央主管機關認定為嚴重病人安全事件時，直轄市、縣（市）主管機關應立即成立專案調查小組，提出改善及防止錯誤之根本原因分析調查報告，並發布之。</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前項專案調查小組，應通知關係人到場說明及提供資料，被調查之機關（構）、團體或有關人員，不得規避、妨礙或拒絕。</w:t>
            </w:r>
          </w:p>
          <w:p w:rsidR="00E92EB5" w:rsidRPr="00AF1EFD" w:rsidRDefault="00E92EB5" w:rsidP="00E92EB5">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專案調查小組之召集人，由社會公正人士擔任之。</w:t>
            </w:r>
          </w:p>
          <w:p w:rsidR="00E92EB5" w:rsidRPr="00AF1EFD" w:rsidRDefault="00E92EB5" w:rsidP="00C1257A">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第一項認定程序、專案調查小組成立層級、召集人與組成人員、運作方式、報告完成期限及其他應遵行事項之辦法，由中央主管機關公告。</w:t>
            </w:r>
          </w:p>
        </w:tc>
        <w:tc>
          <w:tcPr>
            <w:tcW w:w="4502" w:type="dxa"/>
            <w:tcBorders>
              <w:bottom w:val="single" w:sz="12" w:space="0" w:color="auto"/>
            </w:tcBorders>
          </w:tcPr>
          <w:p w:rsidR="00C22759" w:rsidRPr="00AF1EFD" w:rsidRDefault="00C22759" w:rsidP="00BC0602">
            <w:pPr>
              <w:pStyle w:val="a7"/>
              <w:numPr>
                <w:ilvl w:val="0"/>
                <w:numId w:val="24"/>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醫</w:t>
            </w:r>
            <w:r w:rsidR="00B51116" w:rsidRPr="00AF1EFD">
              <w:rPr>
                <w:rFonts w:ascii="標楷體" w:eastAsia="標楷體" w:hAnsi="標楷體" w:hint="eastAsia"/>
                <w:sz w:val="28"/>
                <w:szCs w:val="28"/>
              </w:rPr>
              <w:t>事</w:t>
            </w:r>
            <w:r w:rsidRPr="00AF1EFD">
              <w:rPr>
                <w:rFonts w:ascii="標楷體" w:eastAsia="標楷體" w:hAnsi="標楷體" w:hint="eastAsia"/>
                <w:sz w:val="28"/>
                <w:szCs w:val="28"/>
              </w:rPr>
              <w:t>事故如發生屬於系統性錯誤問題時，對於醫療品質及安全醫療執業環境為害甚大，爰參考國際醫療先進國家根本原因分析機制(RCA)，於第一項明定中央主管機關應成立專案小組進行調查，提出改善對策，導正醫療執行方法，改善執業環境及病人安全，並提升醫療品質。</w:t>
            </w:r>
          </w:p>
          <w:p w:rsidR="00C22759" w:rsidRPr="00AF1EFD" w:rsidRDefault="00C22759" w:rsidP="00BC0602">
            <w:pPr>
              <w:pStyle w:val="a7"/>
              <w:numPr>
                <w:ilvl w:val="0"/>
                <w:numId w:val="24"/>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第二項明定專案小組之調查權限，以及相關機關及人員接受調查之義務。</w:t>
            </w:r>
          </w:p>
          <w:p w:rsidR="00C22759" w:rsidRPr="00AF1EFD" w:rsidRDefault="00C22759" w:rsidP="00BC0602">
            <w:pPr>
              <w:pStyle w:val="a7"/>
              <w:numPr>
                <w:ilvl w:val="0"/>
                <w:numId w:val="24"/>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第三項明定專案小組之召集人，應由社會公正人士擔任，以昭客觀公正。</w:t>
            </w:r>
          </w:p>
          <w:p w:rsidR="00E92EB5" w:rsidRDefault="00C22759" w:rsidP="00D574B9">
            <w:pPr>
              <w:pStyle w:val="a7"/>
              <w:numPr>
                <w:ilvl w:val="0"/>
                <w:numId w:val="24"/>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第四項明定專案調查小組設置及運作方式等事項之辦法，授權中央主管機關擬訂</w:t>
            </w:r>
            <w:r w:rsidR="00D574B9">
              <w:rPr>
                <w:rFonts w:ascii="標楷體" w:eastAsia="標楷體" w:hAnsi="標楷體" w:hint="eastAsia"/>
                <w:sz w:val="28"/>
                <w:szCs w:val="28"/>
              </w:rPr>
              <w:t>並公告之</w:t>
            </w:r>
            <w:r w:rsidRPr="00AF1EFD">
              <w:rPr>
                <w:rFonts w:ascii="標楷體" w:eastAsia="標楷體" w:hAnsi="標楷體" w:hint="eastAsia"/>
                <w:sz w:val="28"/>
                <w:szCs w:val="28"/>
              </w:rPr>
              <w:t>。</w:t>
            </w:r>
          </w:p>
          <w:p w:rsidR="00D574B9" w:rsidRPr="00AF1EFD" w:rsidRDefault="00DA29F9" w:rsidP="00D574B9">
            <w:pPr>
              <w:pStyle w:val="a7"/>
              <w:numPr>
                <w:ilvl w:val="0"/>
                <w:numId w:val="24"/>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Pr>
                <w:rFonts w:ascii="標楷體" w:eastAsia="標楷體" w:hAnsi="標楷體" w:hint="eastAsia"/>
                <w:sz w:val="28"/>
                <w:szCs w:val="28"/>
              </w:rPr>
              <w:t>調查之目的，非以究責個人為目的，故有關調查報告本身，應不得作為相關究責或訴訟之基礎文件，爰於第五項定明根本原因分析調查報告，不得採為相關訴訟之證據或裁判基礎。</w:t>
            </w:r>
          </w:p>
        </w:tc>
      </w:tr>
      <w:tr w:rsidR="00AF1EFD" w:rsidRPr="00AF1EFD" w:rsidTr="00536DD7">
        <w:tc>
          <w:tcPr>
            <w:tcW w:w="4501" w:type="dxa"/>
            <w:tcBorders>
              <w:top w:val="single" w:sz="12" w:space="0" w:color="auto"/>
              <w:left w:val="single" w:sz="12" w:space="0" w:color="auto"/>
              <w:bottom w:val="single" w:sz="12" w:space="0" w:color="auto"/>
              <w:right w:val="single" w:sz="12" w:space="0" w:color="auto"/>
            </w:tcBorders>
            <w:shd w:val="clear" w:color="auto" w:fill="auto"/>
          </w:tcPr>
          <w:p w:rsidR="00E92EB5" w:rsidRPr="00AF1EFD" w:rsidRDefault="00E92EB5" w:rsidP="00E92EB5">
            <w:pPr>
              <w:snapToGrid w:val="0"/>
              <w:spacing w:beforeLines="50" w:before="180" w:afterLines="50" w:after="180" w:line="240" w:lineRule="atLeast"/>
              <w:jc w:val="center"/>
              <w:rPr>
                <w:rFonts w:ascii="標楷體" w:eastAsia="標楷體" w:hAnsi="標楷體"/>
                <w:sz w:val="28"/>
                <w:szCs w:val="28"/>
              </w:rPr>
            </w:pPr>
            <w:r w:rsidRPr="00AF1EFD">
              <w:rPr>
                <w:rFonts w:ascii="標楷體" w:eastAsia="標楷體" w:hAnsi="標楷體" w:hint="eastAsia"/>
                <w:b/>
                <w:sz w:val="28"/>
                <w:szCs w:val="28"/>
              </w:rPr>
              <w:t>第五章  罰　　則</w:t>
            </w:r>
          </w:p>
        </w:tc>
        <w:tc>
          <w:tcPr>
            <w:tcW w:w="4502" w:type="dxa"/>
            <w:tcBorders>
              <w:top w:val="single" w:sz="12" w:space="0" w:color="auto"/>
              <w:left w:val="single" w:sz="12" w:space="0" w:color="auto"/>
              <w:bottom w:val="single" w:sz="12" w:space="0" w:color="auto"/>
              <w:right w:val="single" w:sz="12" w:space="0" w:color="auto"/>
            </w:tcBorders>
          </w:tcPr>
          <w:p w:rsidR="00E92EB5" w:rsidRPr="00AF1EFD" w:rsidRDefault="00102511" w:rsidP="00E92EB5">
            <w:pPr>
              <w:snapToGrid w:val="0"/>
              <w:spacing w:beforeLines="50" w:before="180" w:afterLines="50" w:after="180" w:line="240" w:lineRule="atLeast"/>
              <w:jc w:val="center"/>
              <w:rPr>
                <w:rFonts w:ascii="標楷體" w:eastAsia="標楷體" w:hAnsi="標楷體"/>
                <w:b/>
                <w:sz w:val="28"/>
                <w:szCs w:val="28"/>
              </w:rPr>
            </w:pPr>
            <w:r w:rsidRPr="00AF1EFD">
              <w:rPr>
                <w:rFonts w:ascii="標楷體" w:eastAsia="標楷體" w:hAnsi="標楷體"/>
                <w:b/>
                <w:sz w:val="28"/>
                <w:szCs w:val="28"/>
              </w:rPr>
              <w:t>章  名</w:t>
            </w:r>
          </w:p>
        </w:tc>
      </w:tr>
      <w:tr w:rsidR="00AF1EFD" w:rsidRPr="00AF1EFD" w:rsidTr="00536DD7">
        <w:tc>
          <w:tcPr>
            <w:tcW w:w="4501" w:type="dxa"/>
            <w:tcBorders>
              <w:top w:val="single" w:sz="12" w:space="0" w:color="auto"/>
            </w:tcBorders>
            <w:shd w:val="clear" w:color="auto" w:fill="auto"/>
          </w:tcPr>
          <w:p w:rsidR="00C1257A" w:rsidRPr="00AF1EFD" w:rsidRDefault="00C1257A" w:rsidP="00C1257A">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第三十三條　機關（構）、團體或有</w:t>
            </w:r>
            <w:r w:rsidRPr="00AF1EFD">
              <w:rPr>
                <w:rFonts w:ascii="標楷體" w:eastAsia="標楷體" w:hAnsi="標楷體" w:hint="eastAsia"/>
                <w:sz w:val="28"/>
                <w:szCs w:val="28"/>
              </w:rPr>
              <w:lastRenderedPageBreak/>
              <w:t>關人員違反專案調查小組第三十二條第二項所為要求者，由直轄市、縣（市）主管機關處新臺幣五萬元以上二十五萬元以下罰鍰。</w:t>
            </w:r>
          </w:p>
        </w:tc>
        <w:tc>
          <w:tcPr>
            <w:tcW w:w="4502" w:type="dxa"/>
            <w:tcBorders>
              <w:top w:val="single" w:sz="12" w:space="0" w:color="auto"/>
            </w:tcBorders>
          </w:tcPr>
          <w:p w:rsidR="00C1257A" w:rsidRPr="00AF1EFD" w:rsidRDefault="00C22759" w:rsidP="00102511">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lastRenderedPageBreak/>
              <w:t>明定機關(構)、團體或有關人員違</w:t>
            </w:r>
            <w:r w:rsidRPr="00AF1EFD">
              <w:rPr>
                <w:rFonts w:ascii="標楷體" w:eastAsia="標楷體" w:hAnsi="標楷體" w:hint="eastAsia"/>
                <w:sz w:val="28"/>
                <w:szCs w:val="28"/>
              </w:rPr>
              <w:lastRenderedPageBreak/>
              <w:t>反專案調查小組依前條第二項所為要求說明及提供資料之處罰。</w:t>
            </w:r>
          </w:p>
        </w:tc>
      </w:tr>
      <w:tr w:rsidR="00AF1EFD" w:rsidRPr="00AF1EFD" w:rsidTr="00536DD7">
        <w:tc>
          <w:tcPr>
            <w:tcW w:w="4501" w:type="dxa"/>
            <w:shd w:val="clear" w:color="auto" w:fill="auto"/>
          </w:tcPr>
          <w:p w:rsidR="00C1257A" w:rsidRPr="00AF1EFD" w:rsidRDefault="00C1257A" w:rsidP="00C1257A">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lastRenderedPageBreak/>
              <w:t>第三十四條　醫療機構規避、妨礙或拒絕</w:t>
            </w:r>
            <w:r w:rsidR="00C22759" w:rsidRPr="00AF1EFD">
              <w:rPr>
                <w:rFonts w:ascii="標楷體" w:eastAsia="標楷體" w:hAnsi="標楷體" w:hint="eastAsia"/>
                <w:sz w:val="28"/>
                <w:szCs w:val="28"/>
              </w:rPr>
              <w:t>直轄市、縣（市）</w:t>
            </w:r>
            <w:r w:rsidRPr="00AF1EFD">
              <w:rPr>
                <w:rFonts w:ascii="標楷體" w:eastAsia="標楷體" w:hAnsi="標楷體" w:hint="eastAsia"/>
                <w:sz w:val="28"/>
                <w:szCs w:val="28"/>
              </w:rPr>
              <w:t>主管機關依第十八條第一項所為之要求者，由直轄市、縣（市）主管機關處新臺幣五萬元以上二十五萬元以下罰鍰。</w:t>
            </w:r>
          </w:p>
        </w:tc>
        <w:tc>
          <w:tcPr>
            <w:tcW w:w="4502" w:type="dxa"/>
          </w:tcPr>
          <w:p w:rsidR="00C1257A" w:rsidRPr="00AF1EFD" w:rsidRDefault="00C22759" w:rsidP="00102511">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明定規避、妨礙或拒絕主管機關依規定要求提供病歷、診療紀錄、簿據或其他相關資料之處罰，由直轄市、縣(市)。</w:t>
            </w:r>
          </w:p>
        </w:tc>
      </w:tr>
      <w:tr w:rsidR="00AF1EFD" w:rsidRPr="00AF1EFD" w:rsidTr="00536DD7">
        <w:tc>
          <w:tcPr>
            <w:tcW w:w="4501" w:type="dxa"/>
            <w:shd w:val="clear" w:color="auto" w:fill="auto"/>
          </w:tcPr>
          <w:p w:rsidR="00C1257A" w:rsidRPr="00AF1EFD" w:rsidRDefault="00C1257A" w:rsidP="00C1257A">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第三十五條　醫療機構違反第三十條第一項或第二項規定者，由直轄市、縣（市）主管機關處新臺幣四萬元以上二十萬元以下罰鍰。</w:t>
            </w:r>
          </w:p>
        </w:tc>
        <w:tc>
          <w:tcPr>
            <w:tcW w:w="4502" w:type="dxa"/>
          </w:tcPr>
          <w:p w:rsidR="00C1257A" w:rsidRPr="00AF1EFD" w:rsidRDefault="00C22759" w:rsidP="00102511">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醫療機構未建立機構內風險事件管控及通報機制及不配合中央主管機關就重大醫事事故要求進行通報、分析其根本原因、接受查察及提出改善方案者之處罰。</w:t>
            </w:r>
          </w:p>
        </w:tc>
      </w:tr>
      <w:tr w:rsidR="00AF1EFD" w:rsidRPr="00AF1EFD" w:rsidTr="00536DD7">
        <w:tc>
          <w:tcPr>
            <w:tcW w:w="4501" w:type="dxa"/>
            <w:shd w:val="clear" w:color="auto" w:fill="auto"/>
          </w:tcPr>
          <w:p w:rsidR="00C1257A" w:rsidRPr="00AF1EFD" w:rsidRDefault="00C1257A" w:rsidP="00C22759">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第三十六條  醫療機構違反第十六條第二項及第三項規定者，由直轄市、縣（市）主管機關處新臺幣五萬元以上十五萬元以下罰鍰。</w:t>
            </w:r>
          </w:p>
        </w:tc>
        <w:tc>
          <w:tcPr>
            <w:tcW w:w="4502" w:type="dxa"/>
          </w:tcPr>
          <w:p w:rsidR="00C1257A" w:rsidRPr="00AF1EFD" w:rsidRDefault="00C22759" w:rsidP="00F806F8">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明定醫療機構禁止或妨礙所屬人員進行或成立調解</w:t>
            </w:r>
            <w:r w:rsidR="00F806F8">
              <w:rPr>
                <w:rFonts w:ascii="標楷體" w:eastAsia="標楷體" w:hAnsi="標楷體" w:hint="eastAsia"/>
                <w:sz w:val="28"/>
                <w:szCs w:val="28"/>
              </w:rPr>
              <w:t>及因調解予以所屬醫事人員不利處遇</w:t>
            </w:r>
            <w:r w:rsidRPr="00AF1EFD">
              <w:rPr>
                <w:rFonts w:ascii="標楷體" w:eastAsia="標楷體" w:hAnsi="標楷體" w:hint="eastAsia"/>
                <w:sz w:val="28"/>
                <w:szCs w:val="28"/>
              </w:rPr>
              <w:t>之處罰。</w:t>
            </w:r>
          </w:p>
        </w:tc>
      </w:tr>
      <w:tr w:rsidR="00AF1EFD" w:rsidRPr="00AF1EFD" w:rsidTr="00536DD7">
        <w:tc>
          <w:tcPr>
            <w:tcW w:w="4501" w:type="dxa"/>
            <w:shd w:val="clear" w:color="auto" w:fill="auto"/>
          </w:tcPr>
          <w:p w:rsidR="00C1257A" w:rsidRPr="00AF1EFD" w:rsidRDefault="00C1257A" w:rsidP="00C1257A">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第三十七條  醫療機構違反第四條第一項、第二項或第三項規定者，由直轄市、縣（市）主管機關處新臺幣二萬元以上十萬元以下罰鍰。</w:t>
            </w:r>
          </w:p>
          <w:p w:rsidR="00C1257A" w:rsidRPr="00AF1EFD" w:rsidRDefault="00C1257A" w:rsidP="00C1257A">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前項之醫療機構或診所，經直轄市、縣（市）主管機關命其限期改善，屆期不改善者，得按次處罰之。</w:t>
            </w:r>
          </w:p>
        </w:tc>
        <w:tc>
          <w:tcPr>
            <w:tcW w:w="4502" w:type="dxa"/>
          </w:tcPr>
          <w:p w:rsidR="00C1257A" w:rsidRPr="00AF1EFD" w:rsidRDefault="00C22759" w:rsidP="00102511">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明定一百床以上醫院未設醫事爭議關懷小組、九十九床以下醫院、診所或其他醫療機構，未指定專業人員或委由專業機構或團體為第一項之說明、溝通、協助及關懷服務、醫事爭議關懷小組之成員，未包含醫學、法律、心理、社會工作或其他相關專業人員之處罰。</w:t>
            </w:r>
          </w:p>
        </w:tc>
      </w:tr>
      <w:tr w:rsidR="00AF1EFD" w:rsidRPr="00AF1EFD" w:rsidTr="00536DD7">
        <w:tc>
          <w:tcPr>
            <w:tcW w:w="4501" w:type="dxa"/>
            <w:shd w:val="clear" w:color="auto" w:fill="auto"/>
          </w:tcPr>
          <w:p w:rsidR="00C1257A" w:rsidRPr="00AF1EFD" w:rsidRDefault="00C1257A" w:rsidP="00C1257A">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第三十八條　有下列情形之一者，由直轄市、縣（市）主管機關處</w:t>
            </w:r>
            <w:r w:rsidRPr="00AF1EFD">
              <w:rPr>
                <w:rFonts w:ascii="標楷體" w:eastAsia="標楷體" w:hAnsi="標楷體" w:hint="eastAsia"/>
                <w:sz w:val="28"/>
                <w:szCs w:val="28"/>
              </w:rPr>
              <w:lastRenderedPageBreak/>
              <w:t>新臺幣一萬元以上五萬元以下罰鍰：</w:t>
            </w:r>
          </w:p>
          <w:p w:rsidR="00C1257A" w:rsidRPr="00AF1EFD" w:rsidRDefault="00C1257A" w:rsidP="00BC0602">
            <w:pPr>
              <w:pStyle w:val="a7"/>
              <w:numPr>
                <w:ilvl w:val="0"/>
                <w:numId w:val="25"/>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醫療機構未依第五條第一項</w:t>
            </w:r>
            <w:r w:rsidR="00F806F8">
              <w:rPr>
                <w:rFonts w:ascii="標楷體" w:eastAsia="標楷體" w:hAnsi="標楷體" w:hint="eastAsia"/>
                <w:sz w:val="28"/>
                <w:szCs w:val="28"/>
              </w:rPr>
              <w:t>及第二項</w:t>
            </w:r>
            <w:r w:rsidRPr="00AF1EFD">
              <w:rPr>
                <w:rFonts w:ascii="標楷體" w:eastAsia="標楷體" w:hAnsi="標楷體" w:hint="eastAsia"/>
                <w:sz w:val="28"/>
                <w:szCs w:val="28"/>
              </w:rPr>
              <w:t>規定期限提供資料或提供資料不完整者。</w:t>
            </w:r>
          </w:p>
          <w:p w:rsidR="00C1257A" w:rsidRPr="00AF1EFD" w:rsidRDefault="00C1257A" w:rsidP="00BC0602">
            <w:pPr>
              <w:pStyle w:val="a7"/>
              <w:numPr>
                <w:ilvl w:val="0"/>
                <w:numId w:val="25"/>
              </w:numPr>
              <w:kinsoku w:val="0"/>
              <w:overflowPunct w:val="0"/>
              <w:autoSpaceDE w:val="0"/>
              <w:snapToGrid w:val="0"/>
              <w:spacing w:beforeLines="50" w:before="180" w:afterLines="50" w:after="180" w:line="240" w:lineRule="atLeast"/>
              <w:ind w:leftChars="0" w:left="851" w:hanging="567"/>
              <w:jc w:val="both"/>
              <w:textAlignment w:val="center"/>
              <w:rPr>
                <w:rFonts w:ascii="標楷體" w:eastAsia="標楷體" w:hAnsi="標楷體"/>
                <w:sz w:val="28"/>
                <w:szCs w:val="28"/>
              </w:rPr>
            </w:pPr>
            <w:r w:rsidRPr="00AF1EFD">
              <w:rPr>
                <w:rFonts w:ascii="標楷體" w:eastAsia="標楷體" w:hAnsi="標楷體" w:hint="eastAsia"/>
                <w:sz w:val="28"/>
                <w:szCs w:val="28"/>
              </w:rPr>
              <w:t>調解委員或經辦調解事務工作人員無正當理由違反第十五條第二項規定者。</w:t>
            </w:r>
          </w:p>
          <w:p w:rsidR="00C1257A" w:rsidRPr="00AF1EFD" w:rsidRDefault="00C1257A" w:rsidP="00C1257A">
            <w:pPr>
              <w:snapToGrid w:val="0"/>
              <w:spacing w:beforeLines="50" w:before="180" w:afterLines="50" w:after="180" w:line="240" w:lineRule="atLeast"/>
              <w:ind w:left="482" w:firstLineChars="200" w:firstLine="560"/>
              <w:jc w:val="both"/>
              <w:rPr>
                <w:rFonts w:ascii="標楷體" w:eastAsia="標楷體" w:hAnsi="標楷體"/>
                <w:sz w:val="28"/>
                <w:szCs w:val="28"/>
              </w:rPr>
            </w:pPr>
            <w:r w:rsidRPr="00AF1EFD">
              <w:rPr>
                <w:rFonts w:ascii="標楷體" w:eastAsia="標楷體" w:hAnsi="標楷體" w:hint="eastAsia"/>
                <w:sz w:val="28"/>
                <w:szCs w:val="28"/>
              </w:rPr>
              <w:t>前項第一款之醫療機構或診所，經直轄市、縣（市）主管機關命其限期改善，屆期不改善者，得按次處罰之。</w:t>
            </w:r>
          </w:p>
        </w:tc>
        <w:tc>
          <w:tcPr>
            <w:tcW w:w="4502" w:type="dxa"/>
          </w:tcPr>
          <w:p w:rsidR="00C22759" w:rsidRPr="00AF1EFD" w:rsidRDefault="00C22759" w:rsidP="00F806F8">
            <w:pPr>
              <w:pStyle w:val="a7"/>
              <w:numPr>
                <w:ilvl w:val="0"/>
                <w:numId w:val="28"/>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lastRenderedPageBreak/>
              <w:t>明定醫療機構違反第五條第一項</w:t>
            </w:r>
            <w:r w:rsidR="00F806F8">
              <w:rPr>
                <w:rFonts w:ascii="標楷體" w:eastAsia="標楷體" w:hAnsi="標楷體" w:hint="eastAsia"/>
                <w:sz w:val="28"/>
                <w:szCs w:val="28"/>
              </w:rPr>
              <w:t>及第二項</w:t>
            </w:r>
            <w:r w:rsidRPr="00AF1EFD">
              <w:rPr>
                <w:rFonts w:ascii="標楷體" w:eastAsia="標楷體" w:hAnsi="標楷體" w:hint="eastAsia"/>
                <w:sz w:val="28"/>
                <w:szCs w:val="28"/>
              </w:rPr>
              <w:t>有關提供病歷資料</w:t>
            </w:r>
            <w:r w:rsidRPr="00AF1EFD">
              <w:rPr>
                <w:rFonts w:ascii="標楷體" w:eastAsia="標楷體" w:hAnsi="標楷體" w:hint="eastAsia"/>
                <w:sz w:val="28"/>
                <w:szCs w:val="28"/>
              </w:rPr>
              <w:lastRenderedPageBreak/>
              <w:t>期限或提供資料不完整之處罰。</w:t>
            </w:r>
          </w:p>
          <w:p w:rsidR="00C1257A" w:rsidRPr="00AF1EFD" w:rsidRDefault="00C22759" w:rsidP="00F806F8">
            <w:pPr>
              <w:pStyle w:val="a7"/>
              <w:numPr>
                <w:ilvl w:val="0"/>
                <w:numId w:val="28"/>
              </w:numPr>
              <w:kinsoku w:val="0"/>
              <w:overflowPunct w:val="0"/>
              <w:autoSpaceDE w:val="0"/>
              <w:snapToGrid w:val="0"/>
              <w:spacing w:beforeLines="50" w:before="180" w:afterLines="50" w:after="180" w:line="240" w:lineRule="atLeast"/>
              <w:ind w:leftChars="0" w:left="602" w:hanging="602"/>
              <w:jc w:val="both"/>
              <w:textAlignment w:val="center"/>
              <w:rPr>
                <w:rFonts w:ascii="標楷體" w:eastAsia="標楷體" w:hAnsi="標楷體"/>
                <w:sz w:val="28"/>
                <w:szCs w:val="28"/>
              </w:rPr>
            </w:pPr>
            <w:r w:rsidRPr="00AF1EFD">
              <w:rPr>
                <w:rFonts w:ascii="標楷體" w:eastAsia="標楷體" w:hAnsi="標楷體" w:hint="eastAsia"/>
                <w:sz w:val="28"/>
                <w:szCs w:val="28"/>
              </w:rPr>
              <w:t>明定辦理本法相關事項人員違反保密義務之處罰。</w:t>
            </w:r>
          </w:p>
        </w:tc>
      </w:tr>
      <w:tr w:rsidR="00AF1EFD" w:rsidRPr="00AF1EFD" w:rsidTr="00536DD7">
        <w:tc>
          <w:tcPr>
            <w:tcW w:w="4501" w:type="dxa"/>
            <w:tcBorders>
              <w:bottom w:val="single" w:sz="12" w:space="0" w:color="auto"/>
            </w:tcBorders>
            <w:shd w:val="clear" w:color="auto" w:fill="auto"/>
          </w:tcPr>
          <w:p w:rsidR="00C1257A" w:rsidRPr="00AF1EFD" w:rsidRDefault="00C1257A" w:rsidP="00C1257A">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lastRenderedPageBreak/>
              <w:t>第三十九條　當事人違反第十六條第一項規定者，由直轄市、縣（市）主管機關處新臺幣三萬元以以下罰鍰。</w:t>
            </w:r>
          </w:p>
        </w:tc>
        <w:tc>
          <w:tcPr>
            <w:tcW w:w="4502" w:type="dxa"/>
            <w:tcBorders>
              <w:bottom w:val="single" w:sz="12" w:space="0" w:color="auto"/>
            </w:tcBorders>
          </w:tcPr>
          <w:p w:rsidR="00C1257A" w:rsidRPr="00AF1EFD" w:rsidRDefault="00102511" w:rsidP="00102511">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明定當事人經調解會通知到場進行調解者，無故拒絕到場之處罰。</w:t>
            </w:r>
          </w:p>
        </w:tc>
      </w:tr>
      <w:tr w:rsidR="00AF1EFD" w:rsidRPr="00AF1EFD" w:rsidTr="00536DD7">
        <w:tc>
          <w:tcPr>
            <w:tcW w:w="4501" w:type="dxa"/>
            <w:tcBorders>
              <w:top w:val="single" w:sz="12" w:space="0" w:color="auto"/>
              <w:left w:val="single" w:sz="12" w:space="0" w:color="auto"/>
              <w:bottom w:val="single" w:sz="12" w:space="0" w:color="auto"/>
              <w:right w:val="single" w:sz="12" w:space="0" w:color="auto"/>
            </w:tcBorders>
            <w:shd w:val="clear" w:color="auto" w:fill="auto"/>
          </w:tcPr>
          <w:p w:rsidR="00E92EB5" w:rsidRPr="00AF1EFD" w:rsidRDefault="00E92EB5" w:rsidP="00E92EB5">
            <w:pPr>
              <w:snapToGrid w:val="0"/>
              <w:spacing w:beforeLines="50" w:before="180" w:afterLines="50" w:after="180" w:line="240" w:lineRule="atLeast"/>
              <w:jc w:val="center"/>
              <w:rPr>
                <w:rFonts w:ascii="標楷體" w:eastAsia="標楷體" w:hAnsi="標楷體"/>
                <w:sz w:val="28"/>
                <w:szCs w:val="28"/>
              </w:rPr>
            </w:pPr>
            <w:r w:rsidRPr="00AF1EFD">
              <w:rPr>
                <w:rFonts w:ascii="標楷體" w:eastAsia="標楷體" w:hAnsi="標楷體" w:hint="eastAsia"/>
                <w:b/>
                <w:sz w:val="28"/>
                <w:szCs w:val="28"/>
              </w:rPr>
              <w:t>第六章  附　　則</w:t>
            </w:r>
          </w:p>
        </w:tc>
        <w:tc>
          <w:tcPr>
            <w:tcW w:w="4502" w:type="dxa"/>
            <w:tcBorders>
              <w:top w:val="single" w:sz="12" w:space="0" w:color="auto"/>
              <w:left w:val="single" w:sz="12" w:space="0" w:color="auto"/>
              <w:bottom w:val="single" w:sz="12" w:space="0" w:color="auto"/>
              <w:right w:val="single" w:sz="12" w:space="0" w:color="auto"/>
            </w:tcBorders>
          </w:tcPr>
          <w:p w:rsidR="00E92EB5" w:rsidRPr="00AF1EFD" w:rsidRDefault="00E92EB5" w:rsidP="00102511">
            <w:pPr>
              <w:snapToGrid w:val="0"/>
              <w:spacing w:beforeLines="50" w:before="180" w:afterLines="50" w:after="180" w:line="240" w:lineRule="atLeast"/>
              <w:ind w:left="35"/>
              <w:jc w:val="both"/>
              <w:rPr>
                <w:rFonts w:ascii="標楷體" w:eastAsia="標楷體" w:hAnsi="標楷體"/>
                <w:sz w:val="28"/>
                <w:szCs w:val="28"/>
              </w:rPr>
            </w:pPr>
          </w:p>
        </w:tc>
      </w:tr>
      <w:tr w:rsidR="00AF1EFD" w:rsidRPr="00AF1EFD" w:rsidTr="00536DD7">
        <w:tc>
          <w:tcPr>
            <w:tcW w:w="4501" w:type="dxa"/>
            <w:tcBorders>
              <w:top w:val="single" w:sz="12" w:space="0" w:color="auto"/>
            </w:tcBorders>
            <w:shd w:val="clear" w:color="auto" w:fill="auto"/>
          </w:tcPr>
          <w:p w:rsidR="00E92EB5" w:rsidRPr="00AF1EFD" w:rsidRDefault="00E92EB5" w:rsidP="00E92EB5">
            <w:pPr>
              <w:snapToGrid w:val="0"/>
              <w:spacing w:beforeLines="50" w:before="180" w:afterLines="50" w:after="180" w:line="240" w:lineRule="atLeast"/>
              <w:ind w:left="418" w:hanging="418"/>
              <w:jc w:val="both"/>
              <w:rPr>
                <w:rFonts w:ascii="標楷體" w:eastAsia="標楷體" w:hAnsi="標楷體"/>
                <w:sz w:val="28"/>
                <w:szCs w:val="28"/>
              </w:rPr>
            </w:pPr>
            <w:r w:rsidRPr="00AF1EFD">
              <w:rPr>
                <w:rFonts w:ascii="標楷體" w:eastAsia="標楷體" w:hAnsi="標楷體" w:hint="eastAsia"/>
                <w:sz w:val="28"/>
                <w:szCs w:val="28"/>
              </w:rPr>
              <w:t>第四十條　本法施行日期，由行政院以命令定之。</w:t>
            </w:r>
          </w:p>
        </w:tc>
        <w:tc>
          <w:tcPr>
            <w:tcW w:w="4502" w:type="dxa"/>
            <w:tcBorders>
              <w:top w:val="single" w:sz="12" w:space="0" w:color="auto"/>
            </w:tcBorders>
          </w:tcPr>
          <w:p w:rsidR="00E92EB5" w:rsidRPr="00AF1EFD" w:rsidRDefault="00102511" w:rsidP="00102511">
            <w:pPr>
              <w:snapToGrid w:val="0"/>
              <w:spacing w:beforeLines="50" w:before="180" w:afterLines="50" w:after="180" w:line="240" w:lineRule="atLeast"/>
              <w:ind w:left="35"/>
              <w:jc w:val="both"/>
              <w:rPr>
                <w:rFonts w:ascii="標楷體" w:eastAsia="標楷體" w:hAnsi="標楷體"/>
                <w:sz w:val="28"/>
                <w:szCs w:val="28"/>
              </w:rPr>
            </w:pPr>
            <w:r w:rsidRPr="00AF1EFD">
              <w:rPr>
                <w:rFonts w:ascii="標楷體" w:eastAsia="標楷體" w:hAnsi="標楷體" w:hint="eastAsia"/>
                <w:sz w:val="28"/>
                <w:szCs w:val="28"/>
              </w:rPr>
              <w:t>為利本法相關制度之準備及宣導，本法施行日期授權由行政院定之。</w:t>
            </w:r>
          </w:p>
        </w:tc>
      </w:tr>
    </w:tbl>
    <w:p w:rsidR="009C0009" w:rsidRPr="00AF1EFD" w:rsidRDefault="009C0009" w:rsidP="00C9439D">
      <w:pPr>
        <w:jc w:val="both"/>
      </w:pPr>
    </w:p>
    <w:sectPr w:rsidR="009C0009" w:rsidRPr="00AF1EFD" w:rsidSect="00322946">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51" w:rsidRDefault="005D3851" w:rsidP="009C0009">
      <w:r>
        <w:separator/>
      </w:r>
    </w:p>
  </w:endnote>
  <w:endnote w:type="continuationSeparator" w:id="0">
    <w:p w:rsidR="005D3851" w:rsidRDefault="005D3851" w:rsidP="009C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儷楷書">
    <w:panose1 w:val="03000509000000000000"/>
    <w:charset w:val="88"/>
    <w:family w:val="script"/>
    <w:pitch w:val="fixed"/>
    <w:sig w:usb0="F1002BFF"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標楷體" w:hAnsi="Times New Roman" w:cs="華康儷楷書"/>
      </w:rPr>
      <w:id w:val="-314723186"/>
      <w:docPartObj>
        <w:docPartGallery w:val="Page Numbers (Bottom of Page)"/>
        <w:docPartUnique/>
      </w:docPartObj>
    </w:sdtPr>
    <w:sdtEndPr/>
    <w:sdtContent>
      <w:p w:rsidR="00187B2F" w:rsidRPr="00AF1EFD" w:rsidRDefault="00FF4796" w:rsidP="00FF4796">
        <w:pPr>
          <w:pStyle w:val="a5"/>
          <w:jc w:val="center"/>
          <w:rPr>
            <w:rFonts w:ascii="Times New Roman" w:eastAsia="標楷體" w:hAnsi="Times New Roman" w:cs="華康儷楷書"/>
          </w:rPr>
        </w:pPr>
        <w:r w:rsidRPr="00AF1EFD">
          <w:rPr>
            <w:rFonts w:ascii="Times New Roman" w:eastAsia="標楷體" w:hAnsi="Times New Roman" w:cs="華康儷楷書"/>
          </w:rPr>
          <w:t>第</w:t>
        </w:r>
        <w:r w:rsidR="00187B2F" w:rsidRPr="00AF1EFD">
          <w:rPr>
            <w:rFonts w:ascii="Times New Roman" w:eastAsia="標楷體" w:hAnsi="Times New Roman" w:cs="華康儷楷書"/>
          </w:rPr>
          <w:fldChar w:fldCharType="begin"/>
        </w:r>
        <w:r w:rsidR="00187B2F" w:rsidRPr="00AF1EFD">
          <w:rPr>
            <w:rFonts w:ascii="Times New Roman" w:eastAsia="標楷體" w:hAnsi="Times New Roman" w:cs="華康儷楷書"/>
          </w:rPr>
          <w:instrText>PAGE   \* MERGEFORMAT</w:instrText>
        </w:r>
        <w:r w:rsidR="00187B2F" w:rsidRPr="00AF1EFD">
          <w:rPr>
            <w:rFonts w:ascii="Times New Roman" w:eastAsia="標楷體" w:hAnsi="Times New Roman" w:cs="華康儷楷書"/>
          </w:rPr>
          <w:fldChar w:fldCharType="separate"/>
        </w:r>
        <w:r w:rsidR="00CD3CFE" w:rsidRPr="00CD3CFE">
          <w:rPr>
            <w:rFonts w:ascii="Times New Roman" w:eastAsia="標楷體" w:hAnsi="Times New Roman" w:cs="華康儷楷書"/>
            <w:noProof/>
            <w:lang w:val="zh-TW"/>
          </w:rPr>
          <w:t>2</w:t>
        </w:r>
        <w:r w:rsidR="00187B2F" w:rsidRPr="00AF1EFD">
          <w:rPr>
            <w:rFonts w:ascii="Times New Roman" w:eastAsia="標楷體" w:hAnsi="Times New Roman" w:cs="華康儷楷書"/>
          </w:rPr>
          <w:fldChar w:fldCharType="end"/>
        </w:r>
        <w:r w:rsidRPr="00AF1EFD">
          <w:rPr>
            <w:rFonts w:ascii="Times New Roman" w:eastAsia="標楷體" w:hAnsi="Times New Roman" w:cs="華康儷楷書"/>
          </w:rPr>
          <w:t>頁，共</w:t>
        </w:r>
        <w:r w:rsidR="009C572A">
          <w:rPr>
            <w:rFonts w:ascii="Times New Roman" w:eastAsia="標楷體" w:hAnsi="Times New Roman" w:cs="華康儷楷書" w:hint="eastAsia"/>
          </w:rPr>
          <w:t>19</w:t>
        </w:r>
        <w:r w:rsidRPr="00AF1EFD">
          <w:rPr>
            <w:rFonts w:ascii="Times New Roman" w:eastAsia="標楷體" w:hAnsi="Times New Roman" w:cs="華康儷楷書"/>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51" w:rsidRDefault="005D3851" w:rsidP="009C0009">
      <w:r>
        <w:separator/>
      </w:r>
    </w:p>
  </w:footnote>
  <w:footnote w:type="continuationSeparator" w:id="0">
    <w:p w:rsidR="005D3851" w:rsidRDefault="005D3851" w:rsidP="009C0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C49"/>
    <w:multiLevelType w:val="hybridMultilevel"/>
    <w:tmpl w:val="71F07898"/>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283D66"/>
    <w:multiLevelType w:val="hybridMultilevel"/>
    <w:tmpl w:val="B8AADE2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AA285C"/>
    <w:multiLevelType w:val="hybridMultilevel"/>
    <w:tmpl w:val="B8AADE2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C55922"/>
    <w:multiLevelType w:val="hybridMultilevel"/>
    <w:tmpl w:val="B8AADE2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B97E13"/>
    <w:multiLevelType w:val="hybridMultilevel"/>
    <w:tmpl w:val="B8AADE2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4C365D"/>
    <w:multiLevelType w:val="hybridMultilevel"/>
    <w:tmpl w:val="CF5C74DC"/>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4836AC"/>
    <w:multiLevelType w:val="hybridMultilevel"/>
    <w:tmpl w:val="CF5C74DC"/>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18392C"/>
    <w:multiLevelType w:val="hybridMultilevel"/>
    <w:tmpl w:val="B8AADE2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1534A6"/>
    <w:multiLevelType w:val="hybridMultilevel"/>
    <w:tmpl w:val="8A126B54"/>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1C66E0"/>
    <w:multiLevelType w:val="hybridMultilevel"/>
    <w:tmpl w:val="8A126B54"/>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D664296"/>
    <w:multiLevelType w:val="hybridMultilevel"/>
    <w:tmpl w:val="50E02902"/>
    <w:lvl w:ilvl="0" w:tplc="CC06A81A">
      <w:start w:val="1"/>
      <w:numFmt w:val="taiwaneseCountingThousand"/>
      <w:lvlText w:val="%1、"/>
      <w:lvlJc w:val="left"/>
      <w:pPr>
        <w:ind w:left="755" w:hanging="720"/>
      </w:pPr>
      <w:rPr>
        <w:rFonts w:hint="default"/>
      </w:rPr>
    </w:lvl>
    <w:lvl w:ilvl="1" w:tplc="B00892A6">
      <w:start w:val="1"/>
      <w:numFmt w:val="taiwaneseCountingThousand"/>
      <w:lvlText w:val="（%2）"/>
      <w:lvlJc w:val="left"/>
      <w:pPr>
        <w:ind w:left="1379" w:hanging="864"/>
      </w:pPr>
      <w:rPr>
        <w:rFonts w:hint="default"/>
      </w:rPr>
    </w:lvl>
    <w:lvl w:ilvl="2" w:tplc="0409001B" w:tentative="1">
      <w:start w:val="1"/>
      <w:numFmt w:val="lowerRoman"/>
      <w:lvlText w:val="%3."/>
      <w:lvlJc w:val="right"/>
      <w:pPr>
        <w:ind w:left="1475" w:hanging="480"/>
      </w:pPr>
    </w:lvl>
    <w:lvl w:ilvl="3" w:tplc="0409000F" w:tentative="1">
      <w:start w:val="1"/>
      <w:numFmt w:val="decimal"/>
      <w:lvlText w:val="%4."/>
      <w:lvlJc w:val="left"/>
      <w:pPr>
        <w:ind w:left="1955" w:hanging="480"/>
      </w:pPr>
    </w:lvl>
    <w:lvl w:ilvl="4" w:tplc="04090019" w:tentative="1">
      <w:start w:val="1"/>
      <w:numFmt w:val="ideographTraditional"/>
      <w:lvlText w:val="%5、"/>
      <w:lvlJc w:val="left"/>
      <w:pPr>
        <w:ind w:left="2435" w:hanging="480"/>
      </w:pPr>
    </w:lvl>
    <w:lvl w:ilvl="5" w:tplc="0409001B" w:tentative="1">
      <w:start w:val="1"/>
      <w:numFmt w:val="lowerRoman"/>
      <w:lvlText w:val="%6."/>
      <w:lvlJc w:val="right"/>
      <w:pPr>
        <w:ind w:left="2915" w:hanging="480"/>
      </w:pPr>
    </w:lvl>
    <w:lvl w:ilvl="6" w:tplc="0409000F" w:tentative="1">
      <w:start w:val="1"/>
      <w:numFmt w:val="decimal"/>
      <w:lvlText w:val="%7."/>
      <w:lvlJc w:val="left"/>
      <w:pPr>
        <w:ind w:left="3395" w:hanging="480"/>
      </w:pPr>
    </w:lvl>
    <w:lvl w:ilvl="7" w:tplc="04090019" w:tentative="1">
      <w:start w:val="1"/>
      <w:numFmt w:val="ideographTraditional"/>
      <w:lvlText w:val="%8、"/>
      <w:lvlJc w:val="left"/>
      <w:pPr>
        <w:ind w:left="3875" w:hanging="480"/>
      </w:pPr>
    </w:lvl>
    <w:lvl w:ilvl="8" w:tplc="0409001B" w:tentative="1">
      <w:start w:val="1"/>
      <w:numFmt w:val="lowerRoman"/>
      <w:lvlText w:val="%9."/>
      <w:lvlJc w:val="right"/>
      <w:pPr>
        <w:ind w:left="4355" w:hanging="480"/>
      </w:pPr>
    </w:lvl>
  </w:abstractNum>
  <w:abstractNum w:abstractNumId="11">
    <w:nsid w:val="3F590AC9"/>
    <w:multiLevelType w:val="hybridMultilevel"/>
    <w:tmpl w:val="B8AADE2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323F65"/>
    <w:multiLevelType w:val="hybridMultilevel"/>
    <w:tmpl w:val="E2BCFB3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3C6512C"/>
    <w:multiLevelType w:val="hybridMultilevel"/>
    <w:tmpl w:val="AF7A4634"/>
    <w:lvl w:ilvl="0" w:tplc="B00892A6">
      <w:start w:val="1"/>
      <w:numFmt w:val="taiwaneseCountingThousand"/>
      <w:lvlText w:val="（%1）"/>
      <w:lvlJc w:val="left"/>
      <w:pPr>
        <w:ind w:left="1379"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E060E5"/>
    <w:multiLevelType w:val="hybridMultilevel"/>
    <w:tmpl w:val="71F07898"/>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6C6AAE"/>
    <w:multiLevelType w:val="hybridMultilevel"/>
    <w:tmpl w:val="CF5C74DC"/>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F2F04DE"/>
    <w:multiLevelType w:val="hybridMultilevel"/>
    <w:tmpl w:val="B8AADE2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2862E65"/>
    <w:multiLevelType w:val="hybridMultilevel"/>
    <w:tmpl w:val="B8AADE2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6D85522"/>
    <w:multiLevelType w:val="hybridMultilevel"/>
    <w:tmpl w:val="B8AADE2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1500DC5"/>
    <w:multiLevelType w:val="hybridMultilevel"/>
    <w:tmpl w:val="B8AADE2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C1139F"/>
    <w:multiLevelType w:val="hybridMultilevel"/>
    <w:tmpl w:val="B8AADE2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2F4658"/>
    <w:multiLevelType w:val="hybridMultilevel"/>
    <w:tmpl w:val="8A322A86"/>
    <w:lvl w:ilvl="0" w:tplc="DEE0D3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A783C83"/>
    <w:multiLevelType w:val="hybridMultilevel"/>
    <w:tmpl w:val="8A126B54"/>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2D6341"/>
    <w:multiLevelType w:val="hybridMultilevel"/>
    <w:tmpl w:val="B8AADE2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3F72ECB"/>
    <w:multiLevelType w:val="hybridMultilevel"/>
    <w:tmpl w:val="71F07898"/>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95D44D1"/>
    <w:multiLevelType w:val="hybridMultilevel"/>
    <w:tmpl w:val="B8AADE2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ABE2003"/>
    <w:multiLevelType w:val="hybridMultilevel"/>
    <w:tmpl w:val="B8AADE2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AE2731E"/>
    <w:multiLevelType w:val="hybridMultilevel"/>
    <w:tmpl w:val="B8AADE2E"/>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22"/>
  </w:num>
  <w:num w:numId="4">
    <w:abstractNumId w:val="8"/>
  </w:num>
  <w:num w:numId="5">
    <w:abstractNumId w:val="21"/>
  </w:num>
  <w:num w:numId="6">
    <w:abstractNumId w:val="10"/>
  </w:num>
  <w:num w:numId="7">
    <w:abstractNumId w:val="14"/>
  </w:num>
  <w:num w:numId="8">
    <w:abstractNumId w:val="5"/>
  </w:num>
  <w:num w:numId="9">
    <w:abstractNumId w:val="6"/>
  </w:num>
  <w:num w:numId="10">
    <w:abstractNumId w:val="24"/>
  </w:num>
  <w:num w:numId="11">
    <w:abstractNumId w:val="0"/>
  </w:num>
  <w:num w:numId="12">
    <w:abstractNumId w:val="13"/>
  </w:num>
  <w:num w:numId="13">
    <w:abstractNumId w:val="4"/>
  </w:num>
  <w:num w:numId="14">
    <w:abstractNumId w:val="17"/>
  </w:num>
  <w:num w:numId="15">
    <w:abstractNumId w:val="18"/>
  </w:num>
  <w:num w:numId="16">
    <w:abstractNumId w:val="7"/>
  </w:num>
  <w:num w:numId="17">
    <w:abstractNumId w:val="16"/>
  </w:num>
  <w:num w:numId="18">
    <w:abstractNumId w:val="25"/>
  </w:num>
  <w:num w:numId="19">
    <w:abstractNumId w:val="23"/>
  </w:num>
  <w:num w:numId="20">
    <w:abstractNumId w:val="11"/>
  </w:num>
  <w:num w:numId="21">
    <w:abstractNumId w:val="3"/>
  </w:num>
  <w:num w:numId="22">
    <w:abstractNumId w:val="20"/>
  </w:num>
  <w:num w:numId="23">
    <w:abstractNumId w:val="26"/>
  </w:num>
  <w:num w:numId="24">
    <w:abstractNumId w:val="19"/>
  </w:num>
  <w:num w:numId="25">
    <w:abstractNumId w:val="9"/>
  </w:num>
  <w:num w:numId="26">
    <w:abstractNumId w:val="2"/>
  </w:num>
  <w:num w:numId="27">
    <w:abstractNumId w:val="27"/>
  </w:num>
  <w:num w:numId="28">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09"/>
    <w:rsid w:val="00024D94"/>
    <w:rsid w:val="000406EA"/>
    <w:rsid w:val="0004376E"/>
    <w:rsid w:val="00046C63"/>
    <w:rsid w:val="00062218"/>
    <w:rsid w:val="00076F8D"/>
    <w:rsid w:val="000B0A62"/>
    <w:rsid w:val="000C5DEF"/>
    <w:rsid w:val="000D445F"/>
    <w:rsid w:val="001005C2"/>
    <w:rsid w:val="00102511"/>
    <w:rsid w:val="0012267F"/>
    <w:rsid w:val="0012461F"/>
    <w:rsid w:val="00145A9F"/>
    <w:rsid w:val="001500E6"/>
    <w:rsid w:val="0015201C"/>
    <w:rsid w:val="001639C3"/>
    <w:rsid w:val="001878FF"/>
    <w:rsid w:val="00187B2F"/>
    <w:rsid w:val="00195E1B"/>
    <w:rsid w:val="001B4D47"/>
    <w:rsid w:val="001B64C5"/>
    <w:rsid w:val="001B6790"/>
    <w:rsid w:val="001E0B07"/>
    <w:rsid w:val="001F22E3"/>
    <w:rsid w:val="002366C9"/>
    <w:rsid w:val="00237238"/>
    <w:rsid w:val="00261C36"/>
    <w:rsid w:val="00295C8A"/>
    <w:rsid w:val="002B6A01"/>
    <w:rsid w:val="002C090B"/>
    <w:rsid w:val="002C33EA"/>
    <w:rsid w:val="002D3CD3"/>
    <w:rsid w:val="002E0E74"/>
    <w:rsid w:val="002E31DD"/>
    <w:rsid w:val="00322946"/>
    <w:rsid w:val="003317EA"/>
    <w:rsid w:val="003527D7"/>
    <w:rsid w:val="00355C8A"/>
    <w:rsid w:val="00356164"/>
    <w:rsid w:val="00360B6A"/>
    <w:rsid w:val="00372FCC"/>
    <w:rsid w:val="003773B2"/>
    <w:rsid w:val="00396591"/>
    <w:rsid w:val="003A6437"/>
    <w:rsid w:val="003B1500"/>
    <w:rsid w:val="003B5217"/>
    <w:rsid w:val="003B7E42"/>
    <w:rsid w:val="003E3A79"/>
    <w:rsid w:val="003F4EB9"/>
    <w:rsid w:val="0043260D"/>
    <w:rsid w:val="00455DAE"/>
    <w:rsid w:val="00467C3E"/>
    <w:rsid w:val="00477F89"/>
    <w:rsid w:val="004946E5"/>
    <w:rsid w:val="004974C9"/>
    <w:rsid w:val="004C4624"/>
    <w:rsid w:val="004C607F"/>
    <w:rsid w:val="004F1CC7"/>
    <w:rsid w:val="00530F80"/>
    <w:rsid w:val="00536DD7"/>
    <w:rsid w:val="0054030F"/>
    <w:rsid w:val="005473B1"/>
    <w:rsid w:val="00570DC9"/>
    <w:rsid w:val="005A4EF6"/>
    <w:rsid w:val="005D3851"/>
    <w:rsid w:val="005D5196"/>
    <w:rsid w:val="005F4ECE"/>
    <w:rsid w:val="006016DF"/>
    <w:rsid w:val="00610007"/>
    <w:rsid w:val="00653624"/>
    <w:rsid w:val="006655A6"/>
    <w:rsid w:val="00677ADE"/>
    <w:rsid w:val="006A0CCD"/>
    <w:rsid w:val="006C57BD"/>
    <w:rsid w:val="006E495F"/>
    <w:rsid w:val="00703541"/>
    <w:rsid w:val="0072652F"/>
    <w:rsid w:val="00730C4B"/>
    <w:rsid w:val="007344A5"/>
    <w:rsid w:val="00737595"/>
    <w:rsid w:val="00765F43"/>
    <w:rsid w:val="007B608F"/>
    <w:rsid w:val="007C74F8"/>
    <w:rsid w:val="00824A9D"/>
    <w:rsid w:val="008367F8"/>
    <w:rsid w:val="00866652"/>
    <w:rsid w:val="008676E1"/>
    <w:rsid w:val="008802E0"/>
    <w:rsid w:val="008A7172"/>
    <w:rsid w:val="008B6AE5"/>
    <w:rsid w:val="008B764C"/>
    <w:rsid w:val="008E7B1B"/>
    <w:rsid w:val="00910412"/>
    <w:rsid w:val="009659EE"/>
    <w:rsid w:val="00966C79"/>
    <w:rsid w:val="00974DAA"/>
    <w:rsid w:val="00987F43"/>
    <w:rsid w:val="009915CF"/>
    <w:rsid w:val="009B431A"/>
    <w:rsid w:val="009C0009"/>
    <w:rsid w:val="009C15F7"/>
    <w:rsid w:val="009C572A"/>
    <w:rsid w:val="009F0BC1"/>
    <w:rsid w:val="00A01EC1"/>
    <w:rsid w:val="00A21F55"/>
    <w:rsid w:val="00A264FA"/>
    <w:rsid w:val="00A27C38"/>
    <w:rsid w:val="00A62A28"/>
    <w:rsid w:val="00A65001"/>
    <w:rsid w:val="00A73F9C"/>
    <w:rsid w:val="00A94F9F"/>
    <w:rsid w:val="00AA335D"/>
    <w:rsid w:val="00AD0FDE"/>
    <w:rsid w:val="00AF1EFD"/>
    <w:rsid w:val="00B51116"/>
    <w:rsid w:val="00B57C0D"/>
    <w:rsid w:val="00B77FFC"/>
    <w:rsid w:val="00B80DD9"/>
    <w:rsid w:val="00B83C1F"/>
    <w:rsid w:val="00B93D4D"/>
    <w:rsid w:val="00BB0B0F"/>
    <w:rsid w:val="00BB38FD"/>
    <w:rsid w:val="00BC0602"/>
    <w:rsid w:val="00BE209F"/>
    <w:rsid w:val="00C1257A"/>
    <w:rsid w:val="00C15702"/>
    <w:rsid w:val="00C22759"/>
    <w:rsid w:val="00C2310D"/>
    <w:rsid w:val="00C43FC5"/>
    <w:rsid w:val="00C52061"/>
    <w:rsid w:val="00C56498"/>
    <w:rsid w:val="00C62FD1"/>
    <w:rsid w:val="00C70167"/>
    <w:rsid w:val="00C87291"/>
    <w:rsid w:val="00C9439D"/>
    <w:rsid w:val="00CA2124"/>
    <w:rsid w:val="00CB7F01"/>
    <w:rsid w:val="00CD3CFE"/>
    <w:rsid w:val="00CF20F4"/>
    <w:rsid w:val="00D05452"/>
    <w:rsid w:val="00D4429F"/>
    <w:rsid w:val="00D475AB"/>
    <w:rsid w:val="00D528EF"/>
    <w:rsid w:val="00D53190"/>
    <w:rsid w:val="00D574B9"/>
    <w:rsid w:val="00D64DCC"/>
    <w:rsid w:val="00D75E7A"/>
    <w:rsid w:val="00D90E5C"/>
    <w:rsid w:val="00D932EF"/>
    <w:rsid w:val="00D96C90"/>
    <w:rsid w:val="00DA29F9"/>
    <w:rsid w:val="00DA7704"/>
    <w:rsid w:val="00DB0283"/>
    <w:rsid w:val="00DB1F90"/>
    <w:rsid w:val="00DB7414"/>
    <w:rsid w:val="00DC1D12"/>
    <w:rsid w:val="00DD5266"/>
    <w:rsid w:val="00DD7F20"/>
    <w:rsid w:val="00E2514D"/>
    <w:rsid w:val="00E32B90"/>
    <w:rsid w:val="00E361AC"/>
    <w:rsid w:val="00E447C6"/>
    <w:rsid w:val="00E47EFE"/>
    <w:rsid w:val="00E6463C"/>
    <w:rsid w:val="00E65D0F"/>
    <w:rsid w:val="00E67B53"/>
    <w:rsid w:val="00E84901"/>
    <w:rsid w:val="00E92EB5"/>
    <w:rsid w:val="00E94E54"/>
    <w:rsid w:val="00EA21B7"/>
    <w:rsid w:val="00F078BB"/>
    <w:rsid w:val="00F30A64"/>
    <w:rsid w:val="00F806F8"/>
    <w:rsid w:val="00F833C8"/>
    <w:rsid w:val="00F9187D"/>
    <w:rsid w:val="00F95476"/>
    <w:rsid w:val="00FA4CA8"/>
    <w:rsid w:val="00FB0B3A"/>
    <w:rsid w:val="00FE601D"/>
    <w:rsid w:val="00FE67F5"/>
    <w:rsid w:val="00FE7BBA"/>
    <w:rsid w:val="00FF47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009"/>
    <w:pPr>
      <w:tabs>
        <w:tab w:val="center" w:pos="4153"/>
        <w:tab w:val="right" w:pos="8306"/>
      </w:tabs>
      <w:snapToGrid w:val="0"/>
    </w:pPr>
    <w:rPr>
      <w:sz w:val="20"/>
      <w:szCs w:val="20"/>
    </w:rPr>
  </w:style>
  <w:style w:type="character" w:customStyle="1" w:styleId="a4">
    <w:name w:val="頁首 字元"/>
    <w:basedOn w:val="a0"/>
    <w:link w:val="a3"/>
    <w:uiPriority w:val="99"/>
    <w:rsid w:val="009C0009"/>
    <w:rPr>
      <w:sz w:val="20"/>
      <w:szCs w:val="20"/>
    </w:rPr>
  </w:style>
  <w:style w:type="paragraph" w:styleId="a5">
    <w:name w:val="footer"/>
    <w:basedOn w:val="a"/>
    <w:link w:val="a6"/>
    <w:uiPriority w:val="99"/>
    <w:unhideWhenUsed/>
    <w:rsid w:val="009C0009"/>
    <w:pPr>
      <w:tabs>
        <w:tab w:val="center" w:pos="4153"/>
        <w:tab w:val="right" w:pos="8306"/>
      </w:tabs>
      <w:snapToGrid w:val="0"/>
    </w:pPr>
    <w:rPr>
      <w:sz w:val="20"/>
      <w:szCs w:val="20"/>
    </w:rPr>
  </w:style>
  <w:style w:type="character" w:customStyle="1" w:styleId="a6">
    <w:name w:val="頁尾 字元"/>
    <w:basedOn w:val="a0"/>
    <w:link w:val="a5"/>
    <w:uiPriority w:val="99"/>
    <w:rsid w:val="009C0009"/>
    <w:rPr>
      <w:sz w:val="20"/>
      <w:szCs w:val="20"/>
    </w:rPr>
  </w:style>
  <w:style w:type="paragraph" w:styleId="a7">
    <w:name w:val="List Paragraph"/>
    <w:basedOn w:val="a"/>
    <w:uiPriority w:val="34"/>
    <w:qFormat/>
    <w:rsid w:val="00372FCC"/>
    <w:pPr>
      <w:ind w:leftChars="200" w:left="480"/>
    </w:pPr>
  </w:style>
  <w:style w:type="paragraph" w:styleId="a8">
    <w:name w:val="Balloon Text"/>
    <w:basedOn w:val="a"/>
    <w:link w:val="a9"/>
    <w:uiPriority w:val="99"/>
    <w:semiHidden/>
    <w:unhideWhenUsed/>
    <w:rsid w:val="00187B2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87B2F"/>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1B4D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1B4D4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009"/>
    <w:pPr>
      <w:tabs>
        <w:tab w:val="center" w:pos="4153"/>
        <w:tab w:val="right" w:pos="8306"/>
      </w:tabs>
      <w:snapToGrid w:val="0"/>
    </w:pPr>
    <w:rPr>
      <w:sz w:val="20"/>
      <w:szCs w:val="20"/>
    </w:rPr>
  </w:style>
  <w:style w:type="character" w:customStyle="1" w:styleId="a4">
    <w:name w:val="頁首 字元"/>
    <w:basedOn w:val="a0"/>
    <w:link w:val="a3"/>
    <w:uiPriority w:val="99"/>
    <w:rsid w:val="009C0009"/>
    <w:rPr>
      <w:sz w:val="20"/>
      <w:szCs w:val="20"/>
    </w:rPr>
  </w:style>
  <w:style w:type="paragraph" w:styleId="a5">
    <w:name w:val="footer"/>
    <w:basedOn w:val="a"/>
    <w:link w:val="a6"/>
    <w:uiPriority w:val="99"/>
    <w:unhideWhenUsed/>
    <w:rsid w:val="009C0009"/>
    <w:pPr>
      <w:tabs>
        <w:tab w:val="center" w:pos="4153"/>
        <w:tab w:val="right" w:pos="8306"/>
      </w:tabs>
      <w:snapToGrid w:val="0"/>
    </w:pPr>
    <w:rPr>
      <w:sz w:val="20"/>
      <w:szCs w:val="20"/>
    </w:rPr>
  </w:style>
  <w:style w:type="character" w:customStyle="1" w:styleId="a6">
    <w:name w:val="頁尾 字元"/>
    <w:basedOn w:val="a0"/>
    <w:link w:val="a5"/>
    <w:uiPriority w:val="99"/>
    <w:rsid w:val="009C0009"/>
    <w:rPr>
      <w:sz w:val="20"/>
      <w:szCs w:val="20"/>
    </w:rPr>
  </w:style>
  <w:style w:type="paragraph" w:styleId="a7">
    <w:name w:val="List Paragraph"/>
    <w:basedOn w:val="a"/>
    <w:uiPriority w:val="34"/>
    <w:qFormat/>
    <w:rsid w:val="00372FCC"/>
    <w:pPr>
      <w:ind w:leftChars="200" w:left="480"/>
    </w:pPr>
  </w:style>
  <w:style w:type="paragraph" w:styleId="a8">
    <w:name w:val="Balloon Text"/>
    <w:basedOn w:val="a"/>
    <w:link w:val="a9"/>
    <w:uiPriority w:val="99"/>
    <w:semiHidden/>
    <w:unhideWhenUsed/>
    <w:rsid w:val="00187B2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87B2F"/>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1B4D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1B4D4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3268">
      <w:bodyDiv w:val="1"/>
      <w:marLeft w:val="0"/>
      <w:marRight w:val="0"/>
      <w:marTop w:val="0"/>
      <w:marBottom w:val="0"/>
      <w:divBdr>
        <w:top w:val="none" w:sz="0" w:space="0" w:color="auto"/>
        <w:left w:val="none" w:sz="0" w:space="0" w:color="auto"/>
        <w:bottom w:val="none" w:sz="0" w:space="0" w:color="auto"/>
        <w:right w:val="none" w:sz="0" w:space="0" w:color="auto"/>
      </w:divBdr>
    </w:div>
    <w:div w:id="904992100">
      <w:bodyDiv w:val="1"/>
      <w:marLeft w:val="0"/>
      <w:marRight w:val="0"/>
      <w:marTop w:val="0"/>
      <w:marBottom w:val="0"/>
      <w:divBdr>
        <w:top w:val="none" w:sz="0" w:space="0" w:color="auto"/>
        <w:left w:val="none" w:sz="0" w:space="0" w:color="auto"/>
        <w:bottom w:val="none" w:sz="0" w:space="0" w:color="auto"/>
        <w:right w:val="none" w:sz="0" w:space="0" w:color="auto"/>
      </w:divBdr>
    </w:div>
    <w:div w:id="1211527832">
      <w:bodyDiv w:val="1"/>
      <w:marLeft w:val="0"/>
      <w:marRight w:val="0"/>
      <w:marTop w:val="0"/>
      <w:marBottom w:val="0"/>
      <w:divBdr>
        <w:top w:val="none" w:sz="0" w:space="0" w:color="auto"/>
        <w:left w:val="none" w:sz="0" w:space="0" w:color="auto"/>
        <w:bottom w:val="none" w:sz="0" w:space="0" w:color="auto"/>
        <w:right w:val="none" w:sz="0" w:space="0" w:color="auto"/>
      </w:divBdr>
    </w:div>
    <w:div w:id="1391805482">
      <w:bodyDiv w:val="1"/>
      <w:marLeft w:val="0"/>
      <w:marRight w:val="0"/>
      <w:marTop w:val="0"/>
      <w:marBottom w:val="0"/>
      <w:divBdr>
        <w:top w:val="none" w:sz="0" w:space="0" w:color="auto"/>
        <w:left w:val="none" w:sz="0" w:space="0" w:color="auto"/>
        <w:bottom w:val="none" w:sz="0" w:space="0" w:color="auto"/>
        <w:right w:val="none" w:sz="0" w:space="0" w:color="auto"/>
      </w:divBdr>
    </w:div>
    <w:div w:id="17647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F950F-3E17-4986-AD7D-B2FF84F7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1738</Words>
  <Characters>9913</Characters>
  <Application>Microsoft Office Word</Application>
  <DocSecurity>0</DocSecurity>
  <Lines>82</Lines>
  <Paragraphs>23</Paragraphs>
  <ScaleCrop>false</ScaleCrop>
  <Company>Hewlett-Packard Company</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mdandyytkuo</dc:creator>
  <cp:lastModifiedBy>mdandyytkuo</cp:lastModifiedBy>
  <cp:revision>2</cp:revision>
  <cp:lastPrinted>2017-11-20T10:51:00Z</cp:lastPrinted>
  <dcterms:created xsi:type="dcterms:W3CDTF">2017-11-21T07:24:00Z</dcterms:created>
  <dcterms:modified xsi:type="dcterms:W3CDTF">2017-11-21T07:24:00Z</dcterms:modified>
</cp:coreProperties>
</file>